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2962" w:rsidRDefault="00000000">
      <w:p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Sample Nondiscrimination Policy and Resolution for compliance with the American Rescue Plan Act Coronavirus State and Local Fiscal Recovery Fund</w:t>
      </w:r>
    </w:p>
    <w:p w14:paraId="00000002" w14:textId="77777777" w:rsidR="003F2962" w:rsidRDefault="00000000">
      <w:pPr>
        <w:spacing w:line="240" w:lineRule="auto"/>
        <w:rPr>
          <w:rFonts w:ascii="Times New Roman" w:eastAsia="Times New Roman" w:hAnsi="Times New Roman" w:cs="Times New Roman"/>
          <w:b/>
          <w:color w:val="FF0000"/>
          <w:sz w:val="32"/>
          <w:szCs w:val="32"/>
        </w:rPr>
      </w:pPr>
      <w:r>
        <w:rPr>
          <w:rFonts w:ascii="Times New Roman" w:eastAsia="Times New Roman" w:hAnsi="Times New Roman" w:cs="Times New Roman"/>
          <w:b/>
          <w:i/>
          <w:color w:val="FF0000"/>
          <w:sz w:val="24"/>
          <w:szCs w:val="24"/>
        </w:rPr>
        <w:t xml:space="preserve">Note that this sample policy and resolution are intended to give NC local governments a general guide to crafting a nondiscrimination policy to demonstrate compliance with the CSLFRF Award Terms &amp; Conditions. A local government must work with its attorney to draft a policy that is compliant with applicable laws and regulations and that can be fully implemented by the local government. Use of this policy template does not create an attorney/client relationship. Any questions about this sample policy, or suggestions for improvements, may be directed to Rebecca Badgett: </w:t>
      </w:r>
      <w:hyperlink r:id="rId8">
        <w:r>
          <w:rPr>
            <w:rFonts w:ascii="Times New Roman" w:eastAsia="Times New Roman" w:hAnsi="Times New Roman" w:cs="Times New Roman"/>
            <w:b/>
            <w:i/>
            <w:color w:val="0000FF"/>
            <w:sz w:val="24"/>
            <w:szCs w:val="24"/>
            <w:u w:val="single"/>
          </w:rPr>
          <w:t>rbadgett@sog.unc.edu</w:t>
        </w:r>
      </w:hyperlink>
    </w:p>
    <w:p w14:paraId="00000003" w14:textId="77777777" w:rsidR="003F2962"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Sample Nondiscrimination Policy Resolution</w:t>
      </w:r>
    </w:p>
    <w:p w14:paraId="00000004" w14:textId="77777777" w:rsidR="003F2962" w:rsidRDefault="00000000">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[LOCAL GOVERNMENT] has received an allocation of funds from the “Coronavirus State Fiscal Recovery Fund” or “Coronavirus Local Fiscal Recovery Fund” (together “CSLFRF funds”), established pursuant to Sections 602 and 603 of the Social Security Act, as added by Section 9901 of the American Rescue Plan Act of 2021, Pub. L. No. 117-2 (the “ARP/CSLFRF award”).</w:t>
      </w:r>
    </w:p>
    <w:p w14:paraId="00000005" w14:textId="77777777" w:rsidR="003F2962"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CSLFRF funds are subject to the U.S. Department of Treasury (“Treasury”) regulations, including the Final Rule, the Award Terms and Conditions, and the Title VII implementing regulations at 31 C.F.R. Part 22.</w:t>
      </w:r>
    </w:p>
    <w:p w14:paraId="00000006" w14:textId="77777777" w:rsidR="003F296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pursuant to the ARP/CSLFRF Award Terms and Conditions, and as a condition of receiving CSLFRF funds, the [LOCAL GOVERNMENT] agrees to follow all federal statutes and regulations prohibiting discrimination in its administration of CSLFRF under the terms and conditions of the ARP/CSLFRF award, including, without limitation, the following: </w:t>
      </w:r>
    </w:p>
    <w:p w14:paraId="00000007" w14:textId="77777777" w:rsidR="003F296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VI of the Civil Rights Act of 1964 (42 U.S.C. §§ 2000d et seq.) and Treasury’s implementing regulations at 31 C.F.R. Part 22, which prohibit discrimination on the basis of race, color, or national origin within programs or activities receiving federal financial </w:t>
      </w:r>
      <w:proofErr w:type="gramStart"/>
      <w:r>
        <w:rPr>
          <w:rFonts w:ascii="Times New Roman" w:eastAsia="Times New Roman" w:hAnsi="Times New Roman" w:cs="Times New Roman"/>
          <w:color w:val="000000"/>
          <w:sz w:val="24"/>
          <w:szCs w:val="24"/>
        </w:rPr>
        <w:t>assistance;</w:t>
      </w:r>
      <w:proofErr w:type="gramEnd"/>
      <w:r>
        <w:rPr>
          <w:rFonts w:ascii="Times New Roman" w:eastAsia="Times New Roman" w:hAnsi="Times New Roman" w:cs="Times New Roman"/>
          <w:color w:val="000000"/>
          <w:sz w:val="24"/>
          <w:szCs w:val="24"/>
        </w:rPr>
        <w:t xml:space="preserve"> </w:t>
      </w:r>
    </w:p>
    <w:p w14:paraId="00000008" w14:textId="77777777" w:rsidR="003F296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Fair Housing Act, Title VIII of the Civil Rights Act of 1968 (42 U.S.C. §§ 3601 et seq.), which prohibits discrimination in housing on the basis of race, color, religion, national origin, sex, familial status, or </w:t>
      </w:r>
      <w:proofErr w:type="gramStart"/>
      <w:r>
        <w:rPr>
          <w:rFonts w:ascii="Times New Roman" w:eastAsia="Times New Roman" w:hAnsi="Times New Roman" w:cs="Times New Roman"/>
          <w:color w:val="000000"/>
          <w:sz w:val="24"/>
          <w:szCs w:val="24"/>
        </w:rPr>
        <w:t>disability;</w:t>
      </w:r>
      <w:proofErr w:type="gramEnd"/>
      <w:r>
        <w:rPr>
          <w:rFonts w:ascii="Times New Roman" w:eastAsia="Times New Roman" w:hAnsi="Times New Roman" w:cs="Times New Roman"/>
          <w:color w:val="000000"/>
          <w:sz w:val="24"/>
          <w:szCs w:val="24"/>
        </w:rPr>
        <w:t xml:space="preserve"> </w:t>
      </w:r>
    </w:p>
    <w:p w14:paraId="00000009" w14:textId="77777777" w:rsidR="003F296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504 of the Rehabilitation Act of 1973, as amended (29 U.S.C. § 794), which prohibits discrimination on the basis of disability under any program or activity receiving Federal financial </w:t>
      </w:r>
      <w:proofErr w:type="gramStart"/>
      <w:r>
        <w:rPr>
          <w:rFonts w:ascii="Times New Roman" w:eastAsia="Times New Roman" w:hAnsi="Times New Roman" w:cs="Times New Roman"/>
          <w:color w:val="000000"/>
          <w:sz w:val="24"/>
          <w:szCs w:val="24"/>
        </w:rPr>
        <w:t>assistance;</w:t>
      </w:r>
      <w:proofErr w:type="gramEnd"/>
      <w:r>
        <w:rPr>
          <w:rFonts w:ascii="Times New Roman" w:eastAsia="Times New Roman" w:hAnsi="Times New Roman" w:cs="Times New Roman"/>
          <w:color w:val="000000"/>
          <w:sz w:val="24"/>
          <w:szCs w:val="24"/>
        </w:rPr>
        <w:t xml:space="preserve"> </w:t>
      </w:r>
    </w:p>
    <w:p w14:paraId="0000000A" w14:textId="77777777" w:rsidR="003F296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Age Discrimination Act of 1975, as amended (42 U.S.C. §§ 6101 et seq.), and Treasury’s implementing regulations at 31 C.F.R. Part 23, which prohibit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age in programs or activities receiving federal financial assistance; and</w:t>
      </w:r>
    </w:p>
    <w:p w14:paraId="0000000B" w14:textId="77777777" w:rsidR="003F2962"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II of the Americans with Disabilities Act of 1990, as amended (42 U.S.C. §§ 12101 et seq.), which prohibits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disability under programs, activities, and services provided or made available by state and local governments or instrumentalities or agencies thereto.</w:t>
      </w:r>
    </w:p>
    <w:p w14:paraId="0000000C" w14:textId="77777777" w:rsidR="003F2962" w:rsidRDefault="003F2962">
      <w:pPr>
        <w:spacing w:line="240" w:lineRule="auto"/>
        <w:rPr>
          <w:rFonts w:ascii="Times New Roman" w:eastAsia="Times New Roman" w:hAnsi="Times New Roman" w:cs="Times New Roman"/>
          <w:b/>
          <w:sz w:val="24"/>
          <w:szCs w:val="24"/>
        </w:rPr>
      </w:pPr>
    </w:p>
    <w:p w14:paraId="0000000D" w14:textId="77777777" w:rsidR="003F296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RESOLVED</w:t>
      </w:r>
      <w:r>
        <w:rPr>
          <w:rFonts w:ascii="Times New Roman" w:eastAsia="Times New Roman" w:hAnsi="Times New Roman" w:cs="Times New Roman"/>
          <w:sz w:val="24"/>
          <w:szCs w:val="24"/>
        </w:rPr>
        <w:t>, That the governing board of the [LOCAL GOVERNMENT] hereby adopts and enacts the following nondiscrimination policy, which</w:t>
      </w:r>
      <w:r>
        <w:rPr>
          <w:rFonts w:ascii="Times New Roman" w:eastAsia="Times New Roman" w:hAnsi="Times New Roman" w:cs="Times New Roman"/>
          <w:sz w:val="24"/>
          <w:szCs w:val="24"/>
          <w:highlight w:val="white"/>
        </w:rPr>
        <w:t xml:space="preserve"> shall apply to the operations of any program, activity, or facility that is supported in whole, or in part, by expenditures </w:t>
      </w:r>
      <w:r>
        <w:rPr>
          <w:rFonts w:ascii="Times New Roman" w:eastAsia="Times New Roman" w:hAnsi="Times New Roman" w:cs="Times New Roman"/>
          <w:sz w:val="24"/>
          <w:szCs w:val="24"/>
        </w:rPr>
        <w:t xml:space="preserve">CSLFRF pursuant to the ARP/CSLFRF award. </w:t>
      </w:r>
    </w:p>
    <w:p w14:paraId="0000000E" w14:textId="77777777" w:rsidR="003F2962" w:rsidRDefault="003F2962">
      <w:pPr>
        <w:rPr>
          <w:rFonts w:ascii="Times New Roman" w:eastAsia="Times New Roman" w:hAnsi="Times New Roman" w:cs="Times New Roman"/>
          <w:color w:val="FF0000"/>
          <w:sz w:val="24"/>
          <w:szCs w:val="24"/>
        </w:rPr>
      </w:pPr>
    </w:p>
    <w:p w14:paraId="0000000F" w14:textId="77777777" w:rsidR="003F2962" w:rsidRDefault="003F2962">
      <w:pPr>
        <w:jc w:val="center"/>
        <w:rPr>
          <w:rFonts w:ascii="Times New Roman" w:eastAsia="Times New Roman" w:hAnsi="Times New Roman" w:cs="Times New Roman"/>
          <w:color w:val="FF0000"/>
          <w:sz w:val="36"/>
          <w:szCs w:val="36"/>
        </w:rPr>
      </w:pPr>
    </w:p>
    <w:p w14:paraId="00000010" w14:textId="77777777" w:rsidR="003F2962" w:rsidRDefault="003F2962">
      <w:pPr>
        <w:jc w:val="center"/>
        <w:rPr>
          <w:rFonts w:ascii="Times New Roman" w:eastAsia="Times New Roman" w:hAnsi="Times New Roman" w:cs="Times New Roman"/>
          <w:color w:val="FF0000"/>
          <w:sz w:val="36"/>
          <w:szCs w:val="36"/>
        </w:rPr>
      </w:pPr>
    </w:p>
    <w:p w14:paraId="00000011" w14:textId="77777777" w:rsidR="003F2962" w:rsidRDefault="003F2962">
      <w:pPr>
        <w:jc w:val="center"/>
        <w:rPr>
          <w:rFonts w:ascii="Times New Roman" w:eastAsia="Times New Roman" w:hAnsi="Times New Roman" w:cs="Times New Roman"/>
          <w:color w:val="FF0000"/>
          <w:sz w:val="36"/>
          <w:szCs w:val="36"/>
        </w:rPr>
      </w:pPr>
    </w:p>
    <w:p w14:paraId="00000012" w14:textId="77777777" w:rsidR="003F2962" w:rsidRDefault="003F2962">
      <w:pPr>
        <w:jc w:val="center"/>
        <w:rPr>
          <w:rFonts w:ascii="Times New Roman" w:eastAsia="Times New Roman" w:hAnsi="Times New Roman" w:cs="Times New Roman"/>
          <w:color w:val="FF0000"/>
          <w:sz w:val="36"/>
          <w:szCs w:val="36"/>
        </w:rPr>
      </w:pPr>
    </w:p>
    <w:p w14:paraId="00000013" w14:textId="77777777" w:rsidR="003F2962" w:rsidRDefault="003F2962">
      <w:pPr>
        <w:jc w:val="center"/>
        <w:rPr>
          <w:rFonts w:ascii="Times New Roman" w:eastAsia="Times New Roman" w:hAnsi="Times New Roman" w:cs="Times New Roman"/>
          <w:color w:val="FF0000"/>
          <w:sz w:val="36"/>
          <w:szCs w:val="36"/>
        </w:rPr>
      </w:pPr>
    </w:p>
    <w:p w14:paraId="00000014" w14:textId="77777777" w:rsidR="003F2962" w:rsidRDefault="003F2962">
      <w:pPr>
        <w:jc w:val="center"/>
        <w:rPr>
          <w:rFonts w:ascii="Times New Roman" w:eastAsia="Times New Roman" w:hAnsi="Times New Roman" w:cs="Times New Roman"/>
          <w:color w:val="FF0000"/>
          <w:sz w:val="36"/>
          <w:szCs w:val="36"/>
        </w:rPr>
      </w:pPr>
    </w:p>
    <w:p w14:paraId="00000015" w14:textId="77777777" w:rsidR="003F2962" w:rsidRDefault="003F2962">
      <w:pPr>
        <w:jc w:val="center"/>
        <w:rPr>
          <w:rFonts w:ascii="Times New Roman" w:eastAsia="Times New Roman" w:hAnsi="Times New Roman" w:cs="Times New Roman"/>
          <w:color w:val="FF0000"/>
          <w:sz w:val="36"/>
          <w:szCs w:val="36"/>
        </w:rPr>
      </w:pPr>
    </w:p>
    <w:p w14:paraId="00000016" w14:textId="77777777" w:rsidR="003F2962" w:rsidRDefault="003F2962">
      <w:pPr>
        <w:jc w:val="center"/>
        <w:rPr>
          <w:rFonts w:ascii="Times New Roman" w:eastAsia="Times New Roman" w:hAnsi="Times New Roman" w:cs="Times New Roman"/>
          <w:color w:val="FF0000"/>
          <w:sz w:val="36"/>
          <w:szCs w:val="36"/>
        </w:rPr>
      </w:pPr>
    </w:p>
    <w:p w14:paraId="00000017" w14:textId="77777777" w:rsidR="003F2962" w:rsidRDefault="003F2962">
      <w:pPr>
        <w:jc w:val="center"/>
        <w:rPr>
          <w:rFonts w:ascii="Times New Roman" w:eastAsia="Times New Roman" w:hAnsi="Times New Roman" w:cs="Times New Roman"/>
          <w:color w:val="FF0000"/>
          <w:sz w:val="36"/>
          <w:szCs w:val="36"/>
        </w:rPr>
      </w:pPr>
    </w:p>
    <w:p w14:paraId="00000018" w14:textId="77777777" w:rsidR="003F2962" w:rsidRDefault="003F2962">
      <w:pPr>
        <w:jc w:val="center"/>
        <w:rPr>
          <w:rFonts w:ascii="Times New Roman" w:eastAsia="Times New Roman" w:hAnsi="Times New Roman" w:cs="Times New Roman"/>
          <w:color w:val="FF0000"/>
          <w:sz w:val="36"/>
          <w:szCs w:val="36"/>
        </w:rPr>
      </w:pPr>
    </w:p>
    <w:p w14:paraId="00000019" w14:textId="77777777" w:rsidR="003F2962" w:rsidRDefault="003F2962">
      <w:pPr>
        <w:jc w:val="center"/>
        <w:rPr>
          <w:rFonts w:ascii="Times New Roman" w:eastAsia="Times New Roman" w:hAnsi="Times New Roman" w:cs="Times New Roman"/>
          <w:color w:val="FF0000"/>
          <w:sz w:val="36"/>
          <w:szCs w:val="36"/>
        </w:rPr>
      </w:pPr>
    </w:p>
    <w:p w14:paraId="0000001A" w14:textId="77777777" w:rsidR="003F2962" w:rsidRDefault="003F2962">
      <w:pPr>
        <w:jc w:val="center"/>
        <w:rPr>
          <w:rFonts w:ascii="Times New Roman" w:eastAsia="Times New Roman" w:hAnsi="Times New Roman" w:cs="Times New Roman"/>
          <w:color w:val="FF0000"/>
          <w:sz w:val="36"/>
          <w:szCs w:val="36"/>
        </w:rPr>
      </w:pPr>
    </w:p>
    <w:p w14:paraId="0000001B" w14:textId="77777777" w:rsidR="003F2962" w:rsidRDefault="003F2962">
      <w:pPr>
        <w:jc w:val="center"/>
        <w:rPr>
          <w:rFonts w:ascii="Times New Roman" w:eastAsia="Times New Roman" w:hAnsi="Times New Roman" w:cs="Times New Roman"/>
          <w:color w:val="FF0000"/>
          <w:sz w:val="36"/>
          <w:szCs w:val="36"/>
        </w:rPr>
      </w:pPr>
    </w:p>
    <w:p w14:paraId="0000001C" w14:textId="77777777" w:rsidR="003F2962" w:rsidRDefault="003F2962">
      <w:pPr>
        <w:jc w:val="center"/>
        <w:rPr>
          <w:rFonts w:ascii="Times New Roman" w:eastAsia="Times New Roman" w:hAnsi="Times New Roman" w:cs="Times New Roman"/>
          <w:color w:val="FF0000"/>
          <w:sz w:val="36"/>
          <w:szCs w:val="36"/>
        </w:rPr>
      </w:pPr>
    </w:p>
    <w:p w14:paraId="0000001D" w14:textId="77777777" w:rsidR="003F2962" w:rsidRDefault="003F2962">
      <w:pPr>
        <w:jc w:val="center"/>
        <w:rPr>
          <w:rFonts w:ascii="Times New Roman" w:eastAsia="Times New Roman" w:hAnsi="Times New Roman" w:cs="Times New Roman"/>
          <w:color w:val="FF0000"/>
          <w:sz w:val="36"/>
          <w:szCs w:val="36"/>
        </w:rPr>
      </w:pPr>
    </w:p>
    <w:p w14:paraId="0000001E" w14:textId="77777777" w:rsidR="003F2962" w:rsidRDefault="003F2962">
      <w:pPr>
        <w:jc w:val="center"/>
        <w:rPr>
          <w:rFonts w:ascii="Times New Roman" w:eastAsia="Times New Roman" w:hAnsi="Times New Roman" w:cs="Times New Roman"/>
          <w:color w:val="FF0000"/>
          <w:sz w:val="36"/>
          <w:szCs w:val="36"/>
        </w:rPr>
      </w:pPr>
    </w:p>
    <w:p w14:paraId="0000001F" w14:textId="77777777" w:rsidR="003F2962" w:rsidRDefault="003F2962">
      <w:pPr>
        <w:jc w:val="center"/>
        <w:rPr>
          <w:rFonts w:ascii="Times New Roman" w:eastAsia="Times New Roman" w:hAnsi="Times New Roman" w:cs="Times New Roman"/>
          <w:color w:val="FF0000"/>
          <w:sz w:val="36"/>
          <w:szCs w:val="36"/>
        </w:rPr>
      </w:pPr>
    </w:p>
    <w:p w14:paraId="00000020" w14:textId="77777777" w:rsidR="003F2962" w:rsidRDefault="003F2962">
      <w:pPr>
        <w:jc w:val="center"/>
        <w:rPr>
          <w:rFonts w:ascii="Times New Roman" w:eastAsia="Times New Roman" w:hAnsi="Times New Roman" w:cs="Times New Roman"/>
          <w:color w:val="FF0000"/>
          <w:sz w:val="36"/>
          <w:szCs w:val="36"/>
        </w:rPr>
      </w:pPr>
    </w:p>
    <w:p w14:paraId="00000021" w14:textId="77777777" w:rsidR="003F2962"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36"/>
          <w:szCs w:val="36"/>
        </w:rPr>
        <w:lastRenderedPageBreak/>
        <w:t>Sample Nondiscrimination Policy</w:t>
      </w:r>
    </w:p>
    <w:p w14:paraId="00000022" w14:textId="77777777" w:rsidR="003F2962"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Nondiscrimination Policy Statement</w:t>
      </w:r>
    </w:p>
    <w:p w14:paraId="00000023" w14:textId="77777777" w:rsidR="003F29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policy of the [LOCAL GOVERNMENT] to ensure that no person shall, on the ground of  race, color, national origin (including limited English Proficiency), familial status, sex, age,  or disability, be excluded from participation in, be denied the befits of, or be otherwise subject to discrimination under any program or activity administered by the [LOCAL GOVERNMENT],  including programs or activities that are funded in whole or part, with Coronavirus State and Local Fiscal Recovery Funds (”CSLFRF”), which the [LOCAL GOVERNMENT] received from the U.S. Department of Treasury (“Treasury”) pursuant to Sections 602 and 603 of the Social Security Act, as added by Section 9901 of the American Rescue Plan Act of 2021, Pub. L. No. 117-2 (herein the “ARP/CSLFRF award”).</w:t>
      </w:r>
    </w:p>
    <w:p w14:paraId="00000024" w14:textId="77777777" w:rsidR="003F2962" w:rsidRDefault="00000000">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Governing Statutory &amp; Regulatory Authorities </w:t>
      </w:r>
    </w:p>
    <w:p w14:paraId="00000025" w14:textId="77777777" w:rsidR="003F2962" w:rsidRDefault="00000000">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As required by the CSLFRF </w:t>
      </w:r>
      <w:hyperlink r:id="rId9">
        <w:r>
          <w:rPr>
            <w:rFonts w:ascii="Times New Roman" w:eastAsia="Times New Roman" w:hAnsi="Times New Roman" w:cs="Times New Roman"/>
            <w:color w:val="0000FF"/>
            <w:sz w:val="24"/>
            <w:szCs w:val="24"/>
            <w:u w:val="single"/>
          </w:rPr>
          <w:t>Award Terms and Conditions</w:t>
        </w:r>
      </w:hyperlink>
      <w:r>
        <w:rPr>
          <w:rFonts w:ascii="Times New Roman" w:eastAsia="Times New Roman" w:hAnsi="Times New Roman" w:cs="Times New Roman"/>
          <w:sz w:val="24"/>
          <w:szCs w:val="24"/>
        </w:rPr>
        <w:t xml:space="preserve">, the [LOCAL GOVERNMENT] shall ensure that each </w:t>
      </w:r>
      <w:r>
        <w:rPr>
          <w:rFonts w:ascii="Times New Roman" w:eastAsia="Times New Roman" w:hAnsi="Times New Roman" w:cs="Times New Roman"/>
          <w:sz w:val="24"/>
          <w:szCs w:val="24"/>
          <w:highlight w:val="white"/>
        </w:rPr>
        <w:t>“activity,” “facility,” or “program”</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that is funded in whole, or in part, with CSLFRF and administered under the ARP/CSLFRF award, will be facilitated, operated, or conducted in compliance </w:t>
      </w:r>
      <w:r>
        <w:rPr>
          <w:rFonts w:ascii="Times New Roman" w:eastAsia="Times New Roman" w:hAnsi="Times New Roman" w:cs="Times New Roman"/>
          <w:sz w:val="24"/>
          <w:szCs w:val="24"/>
        </w:rPr>
        <w:t>with the following federal statutes and federal regulations prohibiting discrimination. These include, but are not limited to, the following:</w:t>
      </w:r>
    </w:p>
    <w:p w14:paraId="00000026" w14:textId="77777777" w:rsidR="003F296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VI of the Civil Rights Act of 1964 (42 U.S.C. §§ 2000d et seq.) and Treasury’s implementing regulations at 31 C.F.R. Part 22, which prohibit discrimination on the basis of race, color, or national origin under programs or activities receiving federal financial </w:t>
      </w:r>
      <w:proofErr w:type="gramStart"/>
      <w:r>
        <w:rPr>
          <w:rFonts w:ascii="Times New Roman" w:eastAsia="Times New Roman" w:hAnsi="Times New Roman" w:cs="Times New Roman"/>
          <w:color w:val="000000"/>
          <w:sz w:val="24"/>
          <w:szCs w:val="24"/>
        </w:rPr>
        <w:t>assistance;</w:t>
      </w:r>
      <w:proofErr w:type="gramEnd"/>
      <w:r>
        <w:rPr>
          <w:rFonts w:ascii="Times New Roman" w:eastAsia="Times New Roman" w:hAnsi="Times New Roman" w:cs="Times New Roman"/>
          <w:color w:val="000000"/>
          <w:sz w:val="24"/>
          <w:szCs w:val="24"/>
        </w:rPr>
        <w:t xml:space="preserve"> </w:t>
      </w:r>
    </w:p>
    <w:p w14:paraId="00000027" w14:textId="77777777" w:rsidR="003F296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Fair Housing Act, Title VIII of the Civil Rights Act of 1968 (42 U.S.C. §§ 3601 et seq.), which prohibits discrimination in housing on the basis of race, color, religion, national origin, sex, familial status, or </w:t>
      </w:r>
      <w:proofErr w:type="gramStart"/>
      <w:r>
        <w:rPr>
          <w:rFonts w:ascii="Times New Roman" w:eastAsia="Times New Roman" w:hAnsi="Times New Roman" w:cs="Times New Roman"/>
          <w:color w:val="000000"/>
          <w:sz w:val="24"/>
          <w:szCs w:val="24"/>
        </w:rPr>
        <w:t>disability;</w:t>
      </w:r>
      <w:proofErr w:type="gramEnd"/>
      <w:r>
        <w:rPr>
          <w:rFonts w:ascii="Times New Roman" w:eastAsia="Times New Roman" w:hAnsi="Times New Roman" w:cs="Times New Roman"/>
          <w:color w:val="000000"/>
          <w:sz w:val="24"/>
          <w:szCs w:val="24"/>
        </w:rPr>
        <w:t xml:space="preserve"> </w:t>
      </w:r>
    </w:p>
    <w:p w14:paraId="00000028" w14:textId="77777777" w:rsidR="003F296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504 of the Rehabilitation Act of 1973, as amended (29 U.S.C. § 794), which prohibits discrimination on the basis of disability under any program or activity receiving federal financial </w:t>
      </w:r>
      <w:proofErr w:type="gramStart"/>
      <w:r>
        <w:rPr>
          <w:rFonts w:ascii="Times New Roman" w:eastAsia="Times New Roman" w:hAnsi="Times New Roman" w:cs="Times New Roman"/>
          <w:color w:val="000000"/>
          <w:sz w:val="24"/>
          <w:szCs w:val="24"/>
        </w:rPr>
        <w:t>assistance;</w:t>
      </w:r>
      <w:proofErr w:type="gramEnd"/>
      <w:r>
        <w:rPr>
          <w:rFonts w:ascii="Times New Roman" w:eastAsia="Times New Roman" w:hAnsi="Times New Roman" w:cs="Times New Roman"/>
          <w:color w:val="000000"/>
          <w:sz w:val="24"/>
          <w:szCs w:val="24"/>
        </w:rPr>
        <w:t xml:space="preserve"> </w:t>
      </w:r>
    </w:p>
    <w:p w14:paraId="00000029" w14:textId="77777777" w:rsidR="003F296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Age Discrimination Act of 1975, as amended (42 U.S.C. §§ 6101 et seq.), and Treasury’s implementing regulations at 31 C.F.R. Part 23, which prohibit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age within programs or activities receiving federal financial assistance; and</w:t>
      </w:r>
    </w:p>
    <w:p w14:paraId="0000002A" w14:textId="77777777" w:rsidR="003F2962"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II of the Americans with Disabilities Act of 1990, as amended (42 U.S.C. §§ 12101 et seq.), which prohibits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disability under programs, </w:t>
      </w:r>
      <w:r>
        <w:rPr>
          <w:rFonts w:ascii="Times New Roman" w:eastAsia="Times New Roman" w:hAnsi="Times New Roman" w:cs="Times New Roman"/>
          <w:color w:val="000000"/>
          <w:sz w:val="24"/>
          <w:szCs w:val="24"/>
        </w:rPr>
        <w:lastRenderedPageBreak/>
        <w:t>activities, and services provided or made available by state and local governments or instrumentalities or agencies thereto.</w:t>
      </w:r>
    </w:p>
    <w:p w14:paraId="0000002B" w14:textId="77777777" w:rsidR="003F2962" w:rsidRDefault="00000000">
      <w:pPr>
        <w:pBdr>
          <w:top w:val="nil"/>
          <w:left w:val="nil"/>
          <w:bottom w:val="nil"/>
          <w:right w:val="nil"/>
          <w:between w:val="nil"/>
        </w:pBdr>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 xml:space="preserve">Discriminatory Practices Prohibited in the Administration of the ARP/CSLFRF Award </w:t>
      </w:r>
    </w:p>
    <w:p w14:paraId="0000002C" w14:textId="77777777" w:rsidR="003F29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ensure compliance with Title VII of the Civil Rights Act of 1964, and Title 31 Code of Federal Regulations, Part 22, the Civil Rights Restoration Act of 1987, and other pertinent nondiscrimination authorities, the [LOCAL GOVERNMENT] shall prohibit, at a minimum, the following practices in its administration of CSLFRF pursuant to the ARP/CSLFRF award:</w:t>
      </w:r>
    </w:p>
    <w:p w14:paraId="0000002D"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Denying to a person any service, financial aid, or other program benefit without good </w:t>
      </w:r>
      <w:proofErr w:type="gramStart"/>
      <w:r>
        <w:rPr>
          <w:rFonts w:ascii="Times New Roman" w:eastAsia="Times New Roman" w:hAnsi="Times New Roman" w:cs="Times New Roman"/>
          <w:color w:val="000000"/>
          <w:sz w:val="24"/>
          <w:szCs w:val="24"/>
        </w:rPr>
        <w:t>cause;</w:t>
      </w:r>
      <w:proofErr w:type="gramEnd"/>
    </w:p>
    <w:p w14:paraId="0000002E"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Providing to a person any service, financial aid, or another benefit which is different in quantity or quality, or is provided in a different manner, from that provided to others under the program.</w:t>
      </w:r>
    </w:p>
    <w:p w14:paraId="0000002F"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Subjecting a person to segregation or separate treatment in any matter related to the receipt of any service, financial aid, or other benefit under the </w:t>
      </w:r>
      <w:proofErr w:type="gramStart"/>
      <w:r>
        <w:rPr>
          <w:rFonts w:ascii="Times New Roman" w:eastAsia="Times New Roman" w:hAnsi="Times New Roman" w:cs="Times New Roman"/>
          <w:color w:val="000000"/>
          <w:sz w:val="24"/>
          <w:szCs w:val="24"/>
        </w:rPr>
        <w:t>program;</w:t>
      </w:r>
      <w:proofErr w:type="gramEnd"/>
    </w:p>
    <w:p w14:paraId="00000030"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Restricting a person in the enjoyment of any advantages, privileges, or other benefits enjoyed by others receiving any service, financial aid, or other benefit under the </w:t>
      </w:r>
      <w:proofErr w:type="gramStart"/>
      <w:r>
        <w:rPr>
          <w:rFonts w:ascii="Times New Roman" w:eastAsia="Times New Roman" w:hAnsi="Times New Roman" w:cs="Times New Roman"/>
          <w:color w:val="000000"/>
          <w:sz w:val="24"/>
          <w:szCs w:val="24"/>
        </w:rPr>
        <w:t>program;</w:t>
      </w:r>
      <w:proofErr w:type="gramEnd"/>
    </w:p>
    <w:p w14:paraId="00000031"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Treating a person differently from others in determining whether that person satisfies any admission, enrollment, quota, eligibility, membership, or other requirement or condition which persons must meet to be provided any service, financial aid, or other benefit provided under the </w:t>
      </w:r>
      <w:proofErr w:type="gramStart"/>
      <w:r>
        <w:rPr>
          <w:rFonts w:ascii="Times New Roman" w:eastAsia="Times New Roman" w:hAnsi="Times New Roman" w:cs="Times New Roman"/>
          <w:color w:val="000000"/>
          <w:sz w:val="24"/>
          <w:szCs w:val="24"/>
        </w:rPr>
        <w:t>program;</w:t>
      </w:r>
      <w:proofErr w:type="gramEnd"/>
    </w:p>
    <w:p w14:paraId="00000032"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Implementing different standards, criteria, or other requirements for admission, enrollment, or participation in planning, advisory, contractual, or other integral activities to the </w:t>
      </w:r>
      <w:proofErr w:type="gramStart"/>
      <w:r>
        <w:rPr>
          <w:rFonts w:ascii="Times New Roman" w:eastAsia="Times New Roman" w:hAnsi="Times New Roman" w:cs="Times New Roman"/>
          <w:color w:val="000000"/>
          <w:sz w:val="24"/>
          <w:szCs w:val="24"/>
        </w:rPr>
        <w:t>program;</w:t>
      </w:r>
      <w:proofErr w:type="gramEnd"/>
    </w:p>
    <w:p w14:paraId="00000033"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Adopting methods of administration which, directly or through contractual relationships, would defeat or substantially impair the accomplishment of effective </w:t>
      </w:r>
      <w:proofErr w:type="gramStart"/>
      <w:r>
        <w:rPr>
          <w:rFonts w:ascii="Times New Roman" w:eastAsia="Times New Roman" w:hAnsi="Times New Roman" w:cs="Times New Roman"/>
          <w:color w:val="000000"/>
          <w:sz w:val="24"/>
          <w:szCs w:val="24"/>
        </w:rPr>
        <w:t>nondiscrimination;</w:t>
      </w:r>
      <w:proofErr w:type="gramEnd"/>
    </w:p>
    <w:p w14:paraId="00000034"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Selecting a site or location of facilities with the purpose or effect of excluding persons from, denying them the benefits of, subjecting them to discrimination, or with the purpose or effect of defeating or substantially impairing the accomplishment of the objectives of Title VI or related acts and </w:t>
      </w:r>
      <w:proofErr w:type="gramStart"/>
      <w:r>
        <w:rPr>
          <w:rFonts w:ascii="Times New Roman" w:eastAsia="Times New Roman" w:hAnsi="Times New Roman" w:cs="Times New Roman"/>
          <w:color w:val="000000"/>
          <w:sz w:val="24"/>
          <w:szCs w:val="24"/>
        </w:rPr>
        <w:t>regulations;</w:t>
      </w:r>
      <w:proofErr w:type="gramEnd"/>
    </w:p>
    <w:p w14:paraId="00000035"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Discriminating against any person, either directly or through a contractual agreement, in any employment resulting from the program, a primary objective of which is to provide </w:t>
      </w:r>
      <w:proofErr w:type="gramStart"/>
      <w:r>
        <w:rPr>
          <w:rFonts w:ascii="Times New Roman" w:eastAsia="Times New Roman" w:hAnsi="Times New Roman" w:cs="Times New Roman"/>
          <w:color w:val="000000"/>
          <w:sz w:val="24"/>
          <w:szCs w:val="24"/>
        </w:rPr>
        <w:t>employment;</w:t>
      </w:r>
      <w:proofErr w:type="gramEnd"/>
    </w:p>
    <w:p w14:paraId="00000036" w14:textId="77777777" w:rsidR="003F296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Committing acts of intimidation or retaliation, including threatening, coercing, or discriminating against any individual for the purpose of interfering with any right or privilege secured by any pertinent nondiscrimination law, or because an individual made a complaint, testified, assisted, or participated in an investigation, proceeding, or hearing.</w:t>
      </w:r>
    </w:p>
    <w:p w14:paraId="00000037" w14:textId="77777777" w:rsidR="003F2962" w:rsidRDefault="003F296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8" w14:textId="77777777" w:rsidR="003F2962" w:rsidRDefault="00000000">
      <w:pPr>
        <w:pBdr>
          <w:top w:val="nil"/>
          <w:left w:val="nil"/>
          <w:bottom w:val="nil"/>
          <w:right w:val="nil"/>
          <w:between w:val="nil"/>
        </w:pBdr>
        <w:spacing w:after="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Reporting &amp; Enforcement</w:t>
      </w:r>
    </w:p>
    <w:p w14:paraId="00000039" w14:textId="77777777" w:rsidR="003F2962" w:rsidRDefault="003F2962">
      <w:pPr>
        <w:pBdr>
          <w:top w:val="nil"/>
          <w:left w:val="nil"/>
          <w:bottom w:val="nil"/>
          <w:right w:val="nil"/>
          <w:between w:val="nil"/>
        </w:pBdr>
        <w:spacing w:after="0"/>
        <w:ind w:left="1080"/>
        <w:rPr>
          <w:rFonts w:ascii="Times New Roman" w:eastAsia="Times New Roman" w:hAnsi="Times New Roman" w:cs="Times New Roman"/>
          <w:b/>
          <w:color w:val="000000"/>
          <w:sz w:val="24"/>
          <w:szCs w:val="24"/>
          <w:u w:val="single"/>
        </w:rPr>
      </w:pPr>
    </w:p>
    <w:p w14:paraId="0000003A" w14:textId="77777777" w:rsidR="003F2962"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FF0000"/>
          <w:sz w:val="24"/>
          <w:szCs w:val="24"/>
        </w:rPr>
        <w:t>[LOCAL GOVERNMENT]</w:t>
      </w:r>
      <w:r>
        <w:rPr>
          <w:rFonts w:ascii="Times New Roman" w:eastAsia="Times New Roman" w:hAnsi="Times New Roman" w:cs="Times New Roman"/>
          <w:color w:val="000000"/>
          <w:sz w:val="24"/>
          <w:szCs w:val="24"/>
        </w:rPr>
        <w:t xml:space="preserve"> shall cooperate in any enforcement or compliance review activities by the Department of the Treasury. Enforcement may include investigation, </w:t>
      </w:r>
      <w:r>
        <w:rPr>
          <w:rFonts w:ascii="Times New Roman" w:eastAsia="Times New Roman" w:hAnsi="Times New Roman" w:cs="Times New Roman"/>
          <w:color w:val="000000"/>
          <w:sz w:val="24"/>
          <w:szCs w:val="24"/>
        </w:rPr>
        <w:lastRenderedPageBreak/>
        <w:t>arbitration, mediation, litigation, and monitoring of any settlement agreements that may result from these actions. The [LOCAL GOVERNMENT] shall comply with information requests, on-site compliance reviews, and reporting requirements.</w:t>
      </w:r>
    </w:p>
    <w:p w14:paraId="0000003B" w14:textId="77777777" w:rsidR="003F2962" w:rsidRDefault="003F296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3C" w14:textId="77777777" w:rsidR="003F2962"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FF0000"/>
          <w:sz w:val="24"/>
          <w:szCs w:val="24"/>
        </w:rPr>
        <w:t>[LOCAL GOVERNMENT]</w:t>
      </w:r>
      <w:r>
        <w:rPr>
          <w:rFonts w:ascii="Times New Roman" w:eastAsia="Times New Roman" w:hAnsi="Times New Roman" w:cs="Times New Roman"/>
          <w:color w:val="000000"/>
          <w:sz w:val="24"/>
          <w:szCs w:val="24"/>
        </w:rPr>
        <w:t xml:space="preserve"> shall maintain a complaint log and inform the Treasury of any complaints of discrimination on the grounds of race, color, or national origin (including limited English proficiency covered by Title VI of the Civil Rights Act of 1964 and implementing regulations and provide, upon request, a list of all such reviews or proceedings based on the complaint, whether pending or completed, including the outcome. The [</w:t>
      </w:r>
      <w:r>
        <w:rPr>
          <w:rFonts w:ascii="Times New Roman" w:eastAsia="Times New Roman" w:hAnsi="Times New Roman" w:cs="Times New Roman"/>
          <w:color w:val="FF0000"/>
          <w:sz w:val="24"/>
          <w:szCs w:val="24"/>
        </w:rPr>
        <w:t>LOCAL GOVERNMENT]</w:t>
      </w:r>
      <w:r>
        <w:rPr>
          <w:rFonts w:ascii="Times New Roman" w:eastAsia="Times New Roman" w:hAnsi="Times New Roman" w:cs="Times New Roman"/>
          <w:color w:val="000000"/>
          <w:sz w:val="24"/>
          <w:szCs w:val="24"/>
        </w:rPr>
        <w:t xml:space="preserve"> shall inform the Treasury if it has received no complaints under Title VI.</w:t>
      </w:r>
    </w:p>
    <w:p w14:paraId="0000003D" w14:textId="77777777" w:rsidR="003F2962" w:rsidRDefault="003F296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3E" w14:textId="77777777" w:rsidR="003F2962"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believes they have been aggrieved by a discriminatory practice under Title VI has a right to file a formal complaint with the Treasury. Any such complaint must be in writing and filed with the Treasury’s Title VI Coordinator within one hundred eighty (180) days following the date of the alleged discriminatory occurrence.</w:t>
      </w:r>
    </w:p>
    <w:p w14:paraId="0000003F" w14:textId="77777777" w:rsidR="003F2962" w:rsidRDefault="003F296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40" w14:textId="77777777" w:rsidR="003F2962"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person who believes that because of that person’s race, color, national origin, limited English proficiency, familial status, sex, age, religion, or disability that he/she/they have been discriminated against or unfairly treated by the </w:t>
      </w:r>
      <w:r>
        <w:rPr>
          <w:rFonts w:ascii="Times New Roman" w:eastAsia="Times New Roman" w:hAnsi="Times New Roman" w:cs="Times New Roman"/>
          <w:color w:val="FF0000"/>
          <w:sz w:val="24"/>
          <w:szCs w:val="24"/>
        </w:rPr>
        <w:t>[LOCAL GOVERNMENT]</w:t>
      </w:r>
      <w:r>
        <w:rPr>
          <w:rFonts w:ascii="Times New Roman" w:eastAsia="Times New Roman" w:hAnsi="Times New Roman" w:cs="Times New Roman"/>
          <w:color w:val="000000"/>
          <w:sz w:val="24"/>
          <w:szCs w:val="24"/>
        </w:rPr>
        <w:t xml:space="preserve"> in violation of this policy should contact the following office within 180 days from the date of the alleged discriminatory occurrence:</w:t>
      </w:r>
    </w:p>
    <w:p w14:paraId="00000041" w14:textId="77777777" w:rsidR="003F2962" w:rsidRDefault="003F296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42" w14:textId="77777777" w:rsidR="003F2962" w:rsidRDefault="00000000">
      <w:pPr>
        <w:pBdr>
          <w:top w:val="nil"/>
          <w:left w:val="nil"/>
          <w:bottom w:val="nil"/>
          <w:right w:val="nil"/>
          <w:between w:val="nil"/>
        </w:pBdr>
        <w:ind w:left="36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[Insert Name/Position title/contact information of the person charged with overseeing complaints. The local government may have a nondiscrimination policy in place that already sets forth the complaint process] </w:t>
      </w:r>
    </w:p>
    <w:p w14:paraId="00000043" w14:textId="77777777" w:rsidR="003F2962" w:rsidRDefault="003F2962">
      <w:pPr>
        <w:rPr>
          <w:rFonts w:ascii="Times New Roman" w:eastAsia="Times New Roman" w:hAnsi="Times New Roman" w:cs="Times New Roman"/>
          <w:sz w:val="24"/>
          <w:szCs w:val="24"/>
        </w:rPr>
      </w:pPr>
    </w:p>
    <w:p w14:paraId="00000044" w14:textId="77777777" w:rsidR="003F2962" w:rsidRDefault="003F2962">
      <w:pPr>
        <w:rPr>
          <w:rFonts w:ascii="Times New Roman" w:eastAsia="Times New Roman" w:hAnsi="Times New Roman" w:cs="Times New Roman"/>
          <w:sz w:val="24"/>
          <w:szCs w:val="24"/>
        </w:rPr>
      </w:pPr>
    </w:p>
    <w:p w14:paraId="00000045" w14:textId="77777777" w:rsidR="003F2962" w:rsidRDefault="003F2962">
      <w:pPr>
        <w:rPr>
          <w:rFonts w:ascii="Times New Roman" w:eastAsia="Times New Roman" w:hAnsi="Times New Roman" w:cs="Times New Roman"/>
          <w:sz w:val="24"/>
          <w:szCs w:val="24"/>
        </w:rPr>
      </w:pPr>
    </w:p>
    <w:p w14:paraId="00000046" w14:textId="77777777" w:rsidR="003F2962" w:rsidRDefault="003F2962">
      <w:pPr>
        <w:rPr>
          <w:rFonts w:ascii="Times New Roman" w:eastAsia="Times New Roman" w:hAnsi="Times New Roman" w:cs="Times New Roman"/>
          <w:sz w:val="24"/>
          <w:szCs w:val="24"/>
        </w:rPr>
      </w:pPr>
    </w:p>
    <w:p w14:paraId="00000047" w14:textId="77777777" w:rsidR="003F2962" w:rsidRDefault="003F2962">
      <w:pPr>
        <w:rPr>
          <w:rFonts w:ascii="Times New Roman" w:eastAsia="Times New Roman" w:hAnsi="Times New Roman" w:cs="Times New Roman"/>
          <w:sz w:val="24"/>
          <w:szCs w:val="24"/>
        </w:rPr>
      </w:pPr>
    </w:p>
    <w:p w14:paraId="00000048" w14:textId="77777777" w:rsidR="003F2962" w:rsidRDefault="003F2962">
      <w:pPr>
        <w:rPr>
          <w:rFonts w:ascii="Times New Roman" w:eastAsia="Times New Roman" w:hAnsi="Times New Roman" w:cs="Times New Roman"/>
          <w:sz w:val="24"/>
          <w:szCs w:val="24"/>
        </w:rPr>
      </w:pPr>
    </w:p>
    <w:p w14:paraId="00000049" w14:textId="77777777" w:rsidR="003F2962" w:rsidRDefault="003F2962">
      <w:pPr>
        <w:rPr>
          <w:rFonts w:ascii="Times New Roman" w:eastAsia="Times New Roman" w:hAnsi="Times New Roman" w:cs="Times New Roman"/>
          <w:sz w:val="24"/>
          <w:szCs w:val="24"/>
        </w:rPr>
      </w:pPr>
    </w:p>
    <w:p w14:paraId="0000004A" w14:textId="77777777" w:rsidR="003F2962" w:rsidRDefault="003F2962">
      <w:pPr>
        <w:rPr>
          <w:rFonts w:ascii="Times New Roman" w:eastAsia="Times New Roman" w:hAnsi="Times New Roman" w:cs="Times New Roman"/>
          <w:sz w:val="24"/>
          <w:szCs w:val="24"/>
        </w:rPr>
      </w:pPr>
    </w:p>
    <w:p w14:paraId="0000004B" w14:textId="77777777" w:rsidR="003F2962" w:rsidRDefault="003F2962">
      <w:pPr>
        <w:rPr>
          <w:rFonts w:ascii="Times New Roman" w:eastAsia="Times New Roman" w:hAnsi="Times New Roman" w:cs="Times New Roman"/>
          <w:sz w:val="24"/>
          <w:szCs w:val="24"/>
        </w:rPr>
      </w:pPr>
    </w:p>
    <w:p w14:paraId="0000004C" w14:textId="77777777" w:rsidR="003F2962" w:rsidRDefault="003F2962">
      <w:pPr>
        <w:rPr>
          <w:rFonts w:ascii="Times New Roman" w:eastAsia="Times New Roman" w:hAnsi="Times New Roman" w:cs="Times New Roman"/>
          <w:sz w:val="24"/>
          <w:szCs w:val="24"/>
        </w:rPr>
      </w:pPr>
    </w:p>
    <w:p w14:paraId="0000004D" w14:textId="77777777" w:rsidR="003F2962" w:rsidRDefault="003F2962">
      <w:pPr>
        <w:rPr>
          <w:rFonts w:ascii="Times New Roman" w:eastAsia="Times New Roman" w:hAnsi="Times New Roman" w:cs="Times New Roman"/>
          <w:sz w:val="24"/>
          <w:szCs w:val="24"/>
        </w:rPr>
      </w:pPr>
    </w:p>
    <w:p w14:paraId="0000004E" w14:textId="77777777" w:rsidR="003F2962" w:rsidRDefault="003F2962">
      <w:pPr>
        <w:rPr>
          <w:rFonts w:ascii="Times New Roman" w:eastAsia="Times New Roman" w:hAnsi="Times New Roman" w:cs="Times New Roman"/>
          <w:sz w:val="24"/>
          <w:szCs w:val="24"/>
        </w:rPr>
      </w:pPr>
    </w:p>
    <w:p w14:paraId="0000004F" w14:textId="77777777" w:rsidR="003F2962" w:rsidRDefault="003F2962">
      <w:pPr>
        <w:rPr>
          <w:rFonts w:ascii="Times New Roman" w:eastAsia="Times New Roman" w:hAnsi="Times New Roman" w:cs="Times New Roman"/>
          <w:sz w:val="24"/>
          <w:szCs w:val="24"/>
        </w:rPr>
      </w:pPr>
    </w:p>
    <w:p w14:paraId="00000050" w14:textId="77777777" w:rsidR="003F2962" w:rsidRDefault="003F2962">
      <w:pPr>
        <w:rPr>
          <w:rFonts w:ascii="Times New Roman" w:eastAsia="Times New Roman" w:hAnsi="Times New Roman" w:cs="Times New Roman"/>
          <w:sz w:val="24"/>
          <w:szCs w:val="24"/>
        </w:rPr>
      </w:pPr>
    </w:p>
    <w:p w14:paraId="00000051" w14:textId="77777777" w:rsidR="003F2962" w:rsidRDefault="003F2962">
      <w:pPr>
        <w:rPr>
          <w:rFonts w:ascii="Times New Roman" w:eastAsia="Times New Roman" w:hAnsi="Times New Roman" w:cs="Times New Roman"/>
          <w:sz w:val="24"/>
          <w:szCs w:val="24"/>
        </w:rPr>
      </w:pPr>
    </w:p>
    <w:p w14:paraId="00000052" w14:textId="77777777" w:rsidR="003F2962" w:rsidRDefault="003F2962">
      <w:pPr>
        <w:rPr>
          <w:rFonts w:ascii="Times New Roman" w:eastAsia="Times New Roman" w:hAnsi="Times New Roman" w:cs="Times New Roman"/>
          <w:sz w:val="24"/>
          <w:szCs w:val="24"/>
        </w:rPr>
      </w:pPr>
    </w:p>
    <w:p w14:paraId="00000053" w14:textId="77777777" w:rsidR="003F2962" w:rsidRDefault="003F2962">
      <w:pPr>
        <w:rPr>
          <w:rFonts w:ascii="Times New Roman" w:eastAsia="Times New Roman" w:hAnsi="Times New Roman" w:cs="Times New Roman"/>
          <w:sz w:val="24"/>
          <w:szCs w:val="24"/>
        </w:rPr>
      </w:pPr>
    </w:p>
    <w:p w14:paraId="00000054" w14:textId="77777777" w:rsidR="003F2962" w:rsidRDefault="003F2962">
      <w:pPr>
        <w:rPr>
          <w:rFonts w:ascii="Times New Roman" w:eastAsia="Times New Roman" w:hAnsi="Times New Roman" w:cs="Times New Roman"/>
          <w:sz w:val="24"/>
          <w:szCs w:val="24"/>
        </w:rPr>
      </w:pPr>
    </w:p>
    <w:p w14:paraId="00000055" w14:textId="77777777" w:rsidR="003F2962" w:rsidRDefault="003F2962">
      <w:pPr>
        <w:rPr>
          <w:rFonts w:ascii="Times New Roman" w:eastAsia="Times New Roman" w:hAnsi="Times New Roman" w:cs="Times New Roman"/>
          <w:sz w:val="24"/>
          <w:szCs w:val="24"/>
        </w:rPr>
      </w:pPr>
    </w:p>
    <w:p w14:paraId="00000056" w14:textId="77777777" w:rsidR="003F2962" w:rsidRDefault="003F2962">
      <w:pPr>
        <w:rPr>
          <w:rFonts w:ascii="Times New Roman" w:eastAsia="Times New Roman" w:hAnsi="Times New Roman" w:cs="Times New Roman"/>
          <w:sz w:val="24"/>
          <w:szCs w:val="24"/>
        </w:rPr>
      </w:pPr>
    </w:p>
    <w:p w14:paraId="00000057" w14:textId="77777777" w:rsidR="003F2962" w:rsidRDefault="003F2962">
      <w:pPr>
        <w:ind w:left="360"/>
        <w:rPr>
          <w:rFonts w:ascii="Times New Roman" w:eastAsia="Times New Roman" w:hAnsi="Times New Roman" w:cs="Times New Roman"/>
          <w:sz w:val="24"/>
          <w:szCs w:val="24"/>
        </w:rPr>
      </w:pPr>
    </w:p>
    <w:sectPr w:rsidR="003F29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02EA" w14:textId="77777777" w:rsidR="00100A4B" w:rsidRDefault="00100A4B">
      <w:pPr>
        <w:spacing w:after="0" w:line="240" w:lineRule="auto"/>
      </w:pPr>
      <w:r>
        <w:separator/>
      </w:r>
    </w:p>
  </w:endnote>
  <w:endnote w:type="continuationSeparator" w:id="0">
    <w:p w14:paraId="65709FC9" w14:textId="77777777" w:rsidR="00100A4B" w:rsidRDefault="0010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5F92" w14:textId="77777777" w:rsidR="00100A4B" w:rsidRDefault="00100A4B">
      <w:pPr>
        <w:spacing w:after="0" w:line="240" w:lineRule="auto"/>
      </w:pPr>
      <w:r>
        <w:separator/>
      </w:r>
    </w:p>
  </w:footnote>
  <w:footnote w:type="continuationSeparator" w:id="0">
    <w:p w14:paraId="0972FF08" w14:textId="77777777" w:rsidR="00100A4B" w:rsidRDefault="00100A4B">
      <w:pPr>
        <w:spacing w:after="0" w:line="240" w:lineRule="auto"/>
      </w:pPr>
      <w:r>
        <w:continuationSeparator/>
      </w:r>
    </w:p>
  </w:footnote>
  <w:footnote w:id="1">
    <w:p w14:paraId="00000058" w14:textId="77777777" w:rsidR="003F2962"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22 C.F.R. § 22.3 defines “program” and “activity” as all operations of an entity, including local governments, that receive Federal financial assistance, and the departments, agencies, or special purpose districts of the local governments to which Federal financial assistance is distributed. “Federal financial assistance” includes, among other things, grants and loans of federal funds. “Facility” includes all or any part of structures, equipment, or other real or personal property or interests therein, and the provision of facilities includes the construction, expansion, renovation, remodeling, alteration, or acquisition of facilities.</w:t>
      </w:r>
    </w:p>
    <w:p w14:paraId="00000059" w14:textId="77777777" w:rsidR="003F2962" w:rsidRDefault="003F2962">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5E4"/>
    <w:multiLevelType w:val="multilevel"/>
    <w:tmpl w:val="0018DAE2"/>
    <w:lvl w:ilvl="0">
      <w:start w:val="1"/>
      <w:numFmt w:val="lowerRoman"/>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1F396F"/>
    <w:multiLevelType w:val="multilevel"/>
    <w:tmpl w:val="278234B0"/>
    <w:lvl w:ilvl="0">
      <w:start w:val="1"/>
      <w:numFmt w:val="lowerRoman"/>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900B32"/>
    <w:multiLevelType w:val="multilevel"/>
    <w:tmpl w:val="463838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F1D5ACB"/>
    <w:multiLevelType w:val="multilevel"/>
    <w:tmpl w:val="B6B0F3A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8458872">
    <w:abstractNumId w:val="1"/>
  </w:num>
  <w:num w:numId="2" w16cid:durableId="252857065">
    <w:abstractNumId w:val="3"/>
  </w:num>
  <w:num w:numId="3" w16cid:durableId="1760983859">
    <w:abstractNumId w:val="2"/>
  </w:num>
  <w:num w:numId="4" w16cid:durableId="213752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62"/>
    <w:rsid w:val="00100A4B"/>
    <w:rsid w:val="003F2962"/>
    <w:rsid w:val="0043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7B1AD-F9CC-4AC1-9ED8-78D1D4B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2404B"/>
    <w:rPr>
      <w:color w:val="0000FF"/>
      <w:u w:val="single"/>
    </w:rPr>
  </w:style>
  <w:style w:type="paragraph" w:styleId="ListParagraph">
    <w:name w:val="List Paragraph"/>
    <w:basedOn w:val="Normal"/>
    <w:uiPriority w:val="34"/>
    <w:qFormat/>
    <w:rsid w:val="00CB3F79"/>
    <w:pPr>
      <w:ind w:left="720"/>
      <w:contextualSpacing/>
    </w:pPr>
  </w:style>
  <w:style w:type="paragraph" w:customStyle="1" w:styleId="psection-3">
    <w:name w:val="psection-3"/>
    <w:basedOn w:val="Normal"/>
    <w:rsid w:val="00C22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C2222C"/>
  </w:style>
  <w:style w:type="character" w:customStyle="1" w:styleId="et03">
    <w:name w:val="et03"/>
    <w:basedOn w:val="DefaultParagraphFont"/>
    <w:rsid w:val="00857161"/>
  </w:style>
  <w:style w:type="paragraph" w:styleId="FootnoteText">
    <w:name w:val="footnote text"/>
    <w:basedOn w:val="Normal"/>
    <w:link w:val="FootnoteTextChar"/>
    <w:uiPriority w:val="99"/>
    <w:semiHidden/>
    <w:unhideWhenUsed/>
    <w:rsid w:val="00B76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194"/>
    <w:rPr>
      <w:sz w:val="20"/>
      <w:szCs w:val="20"/>
    </w:rPr>
  </w:style>
  <w:style w:type="character" w:styleId="FootnoteReference">
    <w:name w:val="footnote reference"/>
    <w:basedOn w:val="DefaultParagraphFont"/>
    <w:uiPriority w:val="99"/>
    <w:semiHidden/>
    <w:unhideWhenUsed/>
    <w:rsid w:val="00B76194"/>
    <w:rPr>
      <w:vertAlign w:val="superscript"/>
    </w:rPr>
  </w:style>
  <w:style w:type="paragraph" w:styleId="Revision">
    <w:name w:val="Revision"/>
    <w:hidden/>
    <w:uiPriority w:val="99"/>
    <w:semiHidden/>
    <w:rsid w:val="00E36302"/>
    <w:pPr>
      <w:spacing w:after="0" w:line="240" w:lineRule="auto"/>
    </w:pPr>
  </w:style>
  <w:style w:type="character" w:styleId="CommentReference">
    <w:name w:val="annotation reference"/>
    <w:basedOn w:val="DefaultParagraphFont"/>
    <w:uiPriority w:val="99"/>
    <w:semiHidden/>
    <w:unhideWhenUsed/>
    <w:rsid w:val="00E12139"/>
    <w:rPr>
      <w:sz w:val="16"/>
      <w:szCs w:val="16"/>
    </w:rPr>
  </w:style>
  <w:style w:type="paragraph" w:styleId="CommentText">
    <w:name w:val="annotation text"/>
    <w:basedOn w:val="Normal"/>
    <w:link w:val="CommentTextChar"/>
    <w:uiPriority w:val="99"/>
    <w:semiHidden/>
    <w:unhideWhenUsed/>
    <w:rsid w:val="00E12139"/>
    <w:pPr>
      <w:spacing w:line="240" w:lineRule="auto"/>
    </w:pPr>
    <w:rPr>
      <w:sz w:val="20"/>
      <w:szCs w:val="20"/>
    </w:rPr>
  </w:style>
  <w:style w:type="character" w:customStyle="1" w:styleId="CommentTextChar">
    <w:name w:val="Comment Text Char"/>
    <w:basedOn w:val="DefaultParagraphFont"/>
    <w:link w:val="CommentText"/>
    <w:uiPriority w:val="99"/>
    <w:semiHidden/>
    <w:rsid w:val="00E12139"/>
    <w:rPr>
      <w:sz w:val="20"/>
      <w:szCs w:val="20"/>
    </w:rPr>
  </w:style>
  <w:style w:type="paragraph" w:styleId="CommentSubject">
    <w:name w:val="annotation subject"/>
    <w:basedOn w:val="CommentText"/>
    <w:next w:val="CommentText"/>
    <w:link w:val="CommentSubjectChar"/>
    <w:uiPriority w:val="99"/>
    <w:semiHidden/>
    <w:unhideWhenUsed/>
    <w:rsid w:val="00E12139"/>
    <w:rPr>
      <w:b/>
      <w:bCs/>
    </w:rPr>
  </w:style>
  <w:style w:type="character" w:customStyle="1" w:styleId="CommentSubjectChar">
    <w:name w:val="Comment Subject Char"/>
    <w:basedOn w:val="CommentTextChar"/>
    <w:link w:val="CommentSubject"/>
    <w:uiPriority w:val="99"/>
    <w:semiHidden/>
    <w:rsid w:val="00E12139"/>
    <w:rPr>
      <w:b/>
      <w:bCs/>
      <w:sz w:val="20"/>
      <w:szCs w:val="20"/>
    </w:rPr>
  </w:style>
  <w:style w:type="character" w:styleId="UnresolvedMention">
    <w:name w:val="Unresolved Mention"/>
    <w:basedOn w:val="DefaultParagraphFont"/>
    <w:uiPriority w:val="99"/>
    <w:semiHidden/>
    <w:unhideWhenUsed/>
    <w:rsid w:val="005C5DB4"/>
    <w:rPr>
      <w:color w:val="605E5C"/>
      <w:shd w:val="clear" w:color="auto" w:fill="E1DFDD"/>
    </w:rPr>
  </w:style>
  <w:style w:type="paragraph" w:styleId="Header">
    <w:name w:val="header"/>
    <w:basedOn w:val="Normal"/>
    <w:link w:val="HeaderChar"/>
    <w:uiPriority w:val="99"/>
    <w:semiHidden/>
    <w:unhideWhenUsed/>
    <w:rsid w:val="003171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15D"/>
  </w:style>
  <w:style w:type="paragraph" w:styleId="Footer">
    <w:name w:val="footer"/>
    <w:basedOn w:val="Normal"/>
    <w:link w:val="FooterChar"/>
    <w:uiPriority w:val="99"/>
    <w:semiHidden/>
    <w:unhideWhenUsed/>
    <w:rsid w:val="003171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15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badgett@sog.un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me.treasury.gov/system/files/136/NEU_Award_Terms_and_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iErbwlRMe2qnoqDkcLxgFLzPw==">CgMxLjAyCGguZ2pkZ3hzOAByITFRMG9kQ3dOWXFtb1BFTnF5MmhQeVpTVEZNbHU4Qjg1Qg==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9009</Characters>
  <Application>Microsoft Office Word</Application>
  <DocSecurity>0</DocSecurity>
  <Lines>158</Lines>
  <Paragraphs>53</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Badgett, Rebecca</dc:creator>
  <cp:lastModifiedBy>Wilkes, Elizabeth Francina</cp:lastModifiedBy>
  <cp:revision>2</cp:revision>
  <dcterms:created xsi:type="dcterms:W3CDTF">2023-11-02T18:48:00Z</dcterms:created>
  <dcterms:modified xsi:type="dcterms:W3CDTF">2023-11-02T18:48:00Z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0x01010053EAD3F2456F6E47B229C14D003D4AEE</vt:lpwstr>
  </property>
</Properties>
</file>