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Utility Ordinance Checklist</w:t>
      </w:r>
    </w:p>
    <w:p>
      <w:pPr>
        <w:pStyle w:val="IntenseQuote"/>
      </w:pPr>
      <w:r>
        <w:t>For NC Local Government Water and Wastewater Utilities</w:t>
      </w:r>
    </w:p>
    <w:p>
      <w:pPr>
        <w:pStyle w:val="Heading1"/>
      </w:pPr>
      <w:r>
        <w:t>General Provisions</w:t>
      </w:r>
    </w:p>
    <w:p>
      <w:pPr>
        <w:pStyle w:val="ListBullet"/>
      </w:pPr>
      <w:r>
        <w:rPr>
          <w:sz w:val="22"/>
        </w:rPr>
        <w:t>☐ Title and purpose of ordinance</w:t>
      </w:r>
    </w:p>
    <w:p>
      <w:pPr>
        <w:pStyle w:val="ListBullet"/>
      </w:pPr>
      <w:r>
        <w:rPr>
          <w:sz w:val="22"/>
        </w:rPr>
        <w:t>☐ Legal authority for adoption (G.S. 160A, 153A, 162A, or charter)</w:t>
      </w:r>
    </w:p>
    <w:p>
      <w:pPr>
        <w:pStyle w:val="ListBullet"/>
      </w:pPr>
      <w:r>
        <w:rPr>
          <w:sz w:val="22"/>
        </w:rPr>
        <w:t>☐ Service area definition (jurisdictional and extraterritorial, if applicable)</w:t>
      </w:r>
    </w:p>
    <w:p>
      <w:pPr>
        <w:pStyle w:val="ListBullet"/>
      </w:pPr>
      <w:r>
        <w:rPr>
          <w:sz w:val="22"/>
        </w:rPr>
        <w:t>☐ Definitions of key terms (e.g., customer, service connection, tap, availability)</w:t>
      </w:r>
    </w:p>
    <w:p>
      <w:pPr>
        <w:pStyle w:val="Heading1"/>
      </w:pPr>
      <w:r>
        <w:t>Service Connection Policies</w:t>
      </w:r>
    </w:p>
    <w:p>
      <w:pPr>
        <w:pStyle w:val="ListBullet"/>
      </w:pPr>
      <w:r>
        <w:rPr>
          <w:sz w:val="22"/>
        </w:rPr>
        <w:t>☐ Application process for new service</w:t>
      </w:r>
    </w:p>
    <w:p>
      <w:pPr>
        <w:pStyle w:val="ListBullet"/>
      </w:pPr>
      <w:r>
        <w:rPr>
          <w:sz w:val="22"/>
        </w:rPr>
        <w:t>☐ Ownership and maintenance responsibilities</w:t>
      </w:r>
    </w:p>
    <w:p>
      <w:pPr>
        <w:pStyle w:val="ListBullet"/>
      </w:pPr>
      <w:r>
        <w:rPr>
          <w:sz w:val="22"/>
        </w:rPr>
        <w:t>☐ Tap and meter installation requirements</w:t>
      </w:r>
    </w:p>
    <w:p>
      <w:pPr>
        <w:pStyle w:val="ListBullet"/>
      </w:pPr>
      <w:r>
        <w:rPr>
          <w:sz w:val="22"/>
        </w:rPr>
        <w:t>☐ Policies for service availability and capacity allocation</w:t>
      </w:r>
    </w:p>
    <w:p>
      <w:pPr>
        <w:pStyle w:val="ListBullet"/>
      </w:pPr>
      <w:r>
        <w:rPr>
          <w:sz w:val="22"/>
        </w:rPr>
        <w:t>☐ Timing and expiration of availability or capacity commitments</w:t>
      </w:r>
    </w:p>
    <w:p>
      <w:pPr>
        <w:pStyle w:val="Heading1"/>
      </w:pPr>
      <w:r>
        <w:t>System Development Fees (SDFs)</w:t>
      </w:r>
    </w:p>
    <w:p>
      <w:pPr>
        <w:pStyle w:val="ListBullet"/>
      </w:pPr>
      <w:r>
        <w:rPr>
          <w:sz w:val="22"/>
        </w:rPr>
        <w:t>☐ Authority to impose SDFs and method used (G.S. 162A Article 8)</w:t>
      </w:r>
    </w:p>
    <w:p>
      <w:pPr>
        <w:pStyle w:val="ListBullet"/>
      </w:pPr>
      <w:r>
        <w:rPr>
          <w:sz w:val="22"/>
        </w:rPr>
        <w:t>☐ Triggers for assessment (plat approval, building permit, connection)</w:t>
      </w:r>
    </w:p>
    <w:p>
      <w:pPr>
        <w:pStyle w:val="ListBullet"/>
      </w:pPr>
      <w:r>
        <w:rPr>
          <w:sz w:val="22"/>
        </w:rPr>
        <w:t>☐ Fee schedule or reference to adopted fee document</w:t>
      </w:r>
    </w:p>
    <w:p>
      <w:pPr>
        <w:pStyle w:val="ListBullet"/>
      </w:pPr>
      <w:r>
        <w:rPr>
          <w:sz w:val="22"/>
        </w:rPr>
        <w:t>☐ Refund policies for unused service or overpayment</w:t>
      </w:r>
    </w:p>
    <w:p>
      <w:pPr>
        <w:pStyle w:val="Heading1"/>
      </w:pPr>
      <w:r>
        <w:t>Rates and Billing</w:t>
      </w:r>
    </w:p>
    <w:p>
      <w:pPr>
        <w:pStyle w:val="ListBullet"/>
      </w:pPr>
      <w:r>
        <w:rPr>
          <w:sz w:val="22"/>
        </w:rPr>
        <w:t>☐ Rate setting authority and reference to adopted rate schedule</w:t>
      </w:r>
    </w:p>
    <w:p>
      <w:pPr>
        <w:pStyle w:val="ListBullet"/>
      </w:pPr>
      <w:r>
        <w:rPr>
          <w:sz w:val="22"/>
        </w:rPr>
        <w:t>☐ Billing frequency and methods</w:t>
      </w:r>
    </w:p>
    <w:p>
      <w:pPr>
        <w:pStyle w:val="ListBullet"/>
      </w:pPr>
      <w:r>
        <w:rPr>
          <w:sz w:val="22"/>
        </w:rPr>
        <w:t>☐ Proration policies for partial months</w:t>
      </w:r>
    </w:p>
    <w:p>
      <w:pPr>
        <w:pStyle w:val="ListBullet"/>
      </w:pPr>
      <w:r>
        <w:rPr>
          <w:sz w:val="22"/>
        </w:rPr>
        <w:t>☐ Late fees, penalties, and interest</w:t>
      </w:r>
    </w:p>
    <w:p>
      <w:pPr>
        <w:pStyle w:val="ListBullet"/>
      </w:pPr>
      <w:r>
        <w:rPr>
          <w:sz w:val="22"/>
        </w:rPr>
        <w:t>☐ Leak adjustments or hardship policies (if applicable)</w:t>
      </w:r>
    </w:p>
    <w:p>
      <w:pPr>
        <w:pStyle w:val="Heading1"/>
      </w:pPr>
      <w:r>
        <w:t>Delinquent Accounts and Collections</w:t>
      </w:r>
    </w:p>
    <w:p>
      <w:pPr>
        <w:pStyle w:val="ListBullet"/>
      </w:pPr>
      <w:r>
        <w:rPr>
          <w:sz w:val="22"/>
        </w:rPr>
        <w:t>☐ Disconnection and reconnection policies</w:t>
      </w:r>
    </w:p>
    <w:p>
      <w:pPr>
        <w:pStyle w:val="ListBullet"/>
      </w:pPr>
      <w:r>
        <w:rPr>
          <w:sz w:val="22"/>
        </w:rPr>
        <w:t>☐ Collections procedures and remedies (lien, tax levy, small claims, etc.)</w:t>
      </w:r>
    </w:p>
    <w:p>
      <w:pPr>
        <w:pStyle w:val="ListBullet"/>
      </w:pPr>
      <w:r>
        <w:rPr>
          <w:sz w:val="22"/>
        </w:rPr>
        <w:t>☐ Policies related to tenants and landlords</w:t>
      </w:r>
    </w:p>
    <w:p>
      <w:pPr>
        <w:pStyle w:val="ListBullet"/>
      </w:pPr>
      <w:r>
        <w:rPr>
          <w:sz w:val="22"/>
        </w:rPr>
        <w:t>☐ Treatment of unpaid balances after customer death</w:t>
      </w:r>
    </w:p>
    <w:p>
      <w:pPr>
        <w:pStyle w:val="ListBullet"/>
      </w:pPr>
      <w:r>
        <w:rPr>
          <w:sz w:val="22"/>
        </w:rPr>
        <w:t>☐ Prohibition on establishing new service for customers with delinquent accounts</w:t>
      </w:r>
    </w:p>
    <w:p>
      <w:pPr>
        <w:pStyle w:val="ListBullet"/>
      </w:pPr>
      <w:r>
        <w:rPr>
          <w:sz w:val="22"/>
        </w:rPr>
        <w:t>☐ Authority to merge accounts or apply credits/debts across properties or accounts under common ownership or control</w:t>
      </w:r>
    </w:p>
    <w:p>
      <w:pPr>
        <w:pStyle w:val="Heading1"/>
      </w:pPr>
      <w:r>
        <w:t>Account Establishment and Termination</w:t>
      </w:r>
    </w:p>
    <w:p>
      <w:pPr>
        <w:pStyle w:val="ListBullet"/>
      </w:pPr>
      <w:r>
        <w:rPr>
          <w:sz w:val="22"/>
        </w:rPr>
        <w:t>☐ ID and documentation requirements</w:t>
      </w:r>
    </w:p>
    <w:p>
      <w:pPr>
        <w:pStyle w:val="ListBullet"/>
      </w:pPr>
      <w:r>
        <w:rPr>
          <w:sz w:val="22"/>
        </w:rPr>
        <w:t>☐ Service contract terms</w:t>
      </w:r>
    </w:p>
    <w:p>
      <w:pPr>
        <w:pStyle w:val="ListBullet"/>
      </w:pPr>
      <w:r>
        <w:rPr>
          <w:sz w:val="22"/>
        </w:rPr>
        <w:t>☐ Security deposit rules</w:t>
      </w:r>
    </w:p>
    <w:p>
      <w:pPr>
        <w:pStyle w:val="ListBullet"/>
      </w:pPr>
      <w:r>
        <w:rPr>
          <w:sz w:val="22"/>
        </w:rPr>
        <w:t>☐ Account transfer or re-establishment requirements</w:t>
      </w:r>
    </w:p>
    <w:p>
      <w:pPr>
        <w:pStyle w:val="ListBullet"/>
      </w:pPr>
      <w:r>
        <w:rPr>
          <w:sz w:val="22"/>
        </w:rPr>
        <w:t>☐ Affidavits of heirship or estate handling</w:t>
      </w:r>
    </w:p>
    <w:p>
      <w:pPr>
        <w:pStyle w:val="Heading1"/>
      </w:pPr>
      <w:r>
        <w:t>Customer Conduct and Use of Services</w:t>
      </w:r>
    </w:p>
    <w:p>
      <w:pPr>
        <w:pStyle w:val="ListBullet"/>
      </w:pPr>
      <w:r>
        <w:rPr>
          <w:sz w:val="22"/>
        </w:rPr>
        <w:t>☐ Prohibited discharges (wastewater)</w:t>
      </w:r>
    </w:p>
    <w:p>
      <w:pPr>
        <w:pStyle w:val="ListBullet"/>
      </w:pPr>
      <w:r>
        <w:rPr>
          <w:sz w:val="22"/>
        </w:rPr>
        <w:t>☐ Backflow prevention and cross-connection control</w:t>
      </w:r>
    </w:p>
    <w:p>
      <w:pPr>
        <w:pStyle w:val="ListBullet"/>
      </w:pPr>
      <w:r>
        <w:rPr>
          <w:sz w:val="22"/>
        </w:rPr>
        <w:t>☐ Water conservation or drought response measures</w:t>
      </w:r>
    </w:p>
    <w:p>
      <w:pPr>
        <w:pStyle w:val="ListBullet"/>
      </w:pPr>
      <w:r>
        <w:rPr>
          <w:sz w:val="22"/>
        </w:rPr>
        <w:t>☐ Meter tampering, unauthorized connections, or theft of service</w:t>
      </w:r>
    </w:p>
    <w:p>
      <w:pPr>
        <w:pStyle w:val="Heading1"/>
      </w:pPr>
      <w:r>
        <w:t>Utility Authority and Enforcement</w:t>
      </w:r>
    </w:p>
    <w:p>
      <w:pPr>
        <w:pStyle w:val="ListBullet"/>
      </w:pPr>
      <w:r>
        <w:rPr>
          <w:sz w:val="22"/>
        </w:rPr>
        <w:t>☐ Right of access to property for inspection and maintenance</w:t>
      </w:r>
    </w:p>
    <w:p>
      <w:pPr>
        <w:pStyle w:val="ListBullet"/>
      </w:pPr>
      <w:r>
        <w:rPr>
          <w:sz w:val="22"/>
        </w:rPr>
        <w:t>☐ Enforcement mechanisms and penalties for violations</w:t>
      </w:r>
    </w:p>
    <w:p>
      <w:pPr>
        <w:pStyle w:val="ListBullet"/>
      </w:pPr>
      <w:r>
        <w:rPr>
          <w:sz w:val="22"/>
        </w:rPr>
        <w:t>☐ Appeal or grievance procedures</w:t>
      </w:r>
    </w:p>
    <w:p>
      <w:pPr>
        <w:pStyle w:val="ListBullet"/>
      </w:pPr>
      <w:r>
        <w:rPr>
          <w:sz w:val="22"/>
        </w:rPr>
        <w:t>☐ Emergency powers and service interruption authority</w:t>
      </w:r>
    </w:p>
    <w:p>
      <w:pPr>
        <w:pStyle w:val="Heading1"/>
      </w:pPr>
      <w:r>
        <w:t>Administrative Provisions</w:t>
      </w:r>
    </w:p>
    <w:p>
      <w:pPr>
        <w:pStyle w:val="ListBullet"/>
      </w:pPr>
      <w:r>
        <w:rPr>
          <w:sz w:val="22"/>
        </w:rPr>
        <w:t>☐ Delegation of administrative duties to staff</w:t>
      </w:r>
    </w:p>
    <w:p>
      <w:pPr>
        <w:pStyle w:val="ListBullet"/>
      </w:pPr>
      <w:r>
        <w:rPr>
          <w:sz w:val="22"/>
        </w:rPr>
        <w:t>☐ Amendments and effective date</w:t>
      </w:r>
    </w:p>
    <w:p>
      <w:pPr>
        <w:pStyle w:val="ListBullet"/>
      </w:pPr>
      <w:r>
        <w:rPr>
          <w:sz w:val="22"/>
        </w:rPr>
        <w:t>☐ Severability clause</w:t>
      </w:r>
    </w:p>
    <w:p>
      <w:pPr>
        <w:pStyle w:val="ListBullet"/>
      </w:pPr>
      <w:r>
        <w:rPr>
          <w:sz w:val="22"/>
        </w:rPr>
        <w:t>☐ Coordination with other local codes (zoning, stormwater, septic, etc.)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