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CE232D" w14:textId="4BE22533" w:rsidR="008A7C7D" w:rsidRDefault="008A7C7D" w:rsidP="008A7C7D">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Model </w:t>
      </w:r>
      <w:r w:rsidRPr="007D69DF">
        <w:rPr>
          <w:rFonts w:ascii="Times New Roman" w:eastAsia="Times New Roman" w:hAnsi="Times New Roman" w:cs="Times New Roman"/>
          <w:b/>
          <w:bCs/>
          <w:sz w:val="28"/>
          <w:szCs w:val="28"/>
        </w:rPr>
        <w:t>Disbursement Policy</w:t>
      </w:r>
      <w:r>
        <w:rPr>
          <w:rFonts w:ascii="Times New Roman" w:eastAsia="Times New Roman" w:hAnsi="Times New Roman" w:cs="Times New Roman"/>
          <w:b/>
          <w:bCs/>
          <w:sz w:val="28"/>
          <w:szCs w:val="28"/>
        </w:rPr>
        <w:t xml:space="preserve"> </w:t>
      </w:r>
    </w:p>
    <w:p w14:paraId="559990C5" w14:textId="77777777" w:rsidR="008A7C7D" w:rsidRDefault="008A7C7D" w:rsidP="008A7C7D">
      <w:pPr>
        <w:rPr>
          <w:color w:val="00B0F0"/>
        </w:rPr>
      </w:pPr>
    </w:p>
    <w:p w14:paraId="216E5755" w14:textId="5BCFFFEA" w:rsidR="008A7C7D" w:rsidRPr="0018770E" w:rsidRDefault="008A7C7D" w:rsidP="008A7C7D">
      <w:pPr>
        <w:rPr>
          <w:rFonts w:ascii="Times" w:hAnsi="Times" w:cs="Times"/>
          <w:color w:val="00B0F0"/>
          <w:sz w:val="24"/>
          <w:szCs w:val="24"/>
        </w:rPr>
      </w:pPr>
      <w:r w:rsidRPr="0018770E">
        <w:rPr>
          <w:rFonts w:ascii="Times" w:hAnsi="Times" w:cs="Times"/>
          <w:color w:val="00B0F0"/>
          <w:sz w:val="24"/>
          <w:szCs w:val="24"/>
        </w:rPr>
        <w:t xml:space="preserve">Note to Drafter: This model policy is provided by the UNC School of Government and is intended for informational purposes only. It does not constitute legal advice. </w:t>
      </w:r>
    </w:p>
    <w:p w14:paraId="75523DFB" w14:textId="77777777" w:rsidR="008A7C7D" w:rsidRPr="009A3CE2" w:rsidRDefault="008A7C7D" w:rsidP="008A7C7D">
      <w:pPr>
        <w:spacing w:after="0" w:line="240" w:lineRule="auto"/>
        <w:jc w:val="center"/>
        <w:textAlignment w:val="baseline"/>
        <w:rPr>
          <w:rFonts w:ascii="Times New Roman" w:eastAsia="Times New Roman" w:hAnsi="Times New Roman" w:cs="Times New Roman"/>
          <w:b/>
          <w:bCs/>
          <w:sz w:val="24"/>
          <w:szCs w:val="24"/>
        </w:rPr>
      </w:pPr>
    </w:p>
    <w:p w14:paraId="6F20AE1B" w14:textId="77777777" w:rsidR="008A7C7D" w:rsidRPr="009A3CE2" w:rsidRDefault="008A7C7D" w:rsidP="008A7C7D">
      <w:pPr>
        <w:pStyle w:val="paragraph"/>
        <w:numPr>
          <w:ilvl w:val="0"/>
          <w:numId w:val="2"/>
        </w:numPr>
        <w:spacing w:before="0" w:beforeAutospacing="0" w:after="0" w:afterAutospacing="0"/>
        <w:ind w:hanging="720"/>
        <w:textAlignment w:val="baseline"/>
        <w:rPr>
          <w:b/>
          <w:bCs/>
        </w:rPr>
      </w:pPr>
      <w:r w:rsidRPr="73629EB7">
        <w:rPr>
          <w:rStyle w:val="normaltextrun"/>
          <w:rFonts w:eastAsiaTheme="majorEastAsia"/>
          <w:b/>
          <w:bCs/>
          <w:u w:val="single"/>
        </w:rPr>
        <w:t>Purpose and Scope</w:t>
      </w:r>
      <w:r w:rsidRPr="73629EB7">
        <w:rPr>
          <w:rStyle w:val="eop"/>
          <w:rFonts w:eastAsiaTheme="majorEastAsia"/>
          <w:b/>
          <w:bCs/>
        </w:rPr>
        <w:t> </w:t>
      </w:r>
    </w:p>
    <w:p w14:paraId="53C43F9D" w14:textId="77777777" w:rsidR="008A7C7D" w:rsidRPr="009A3CE2" w:rsidRDefault="008A7C7D" w:rsidP="008A7C7D">
      <w:pPr>
        <w:pStyle w:val="paragraph"/>
        <w:spacing w:before="0" w:beforeAutospacing="0" w:after="0" w:afterAutospacing="0"/>
        <w:textAlignment w:val="baseline"/>
      </w:pPr>
    </w:p>
    <w:p w14:paraId="2AC942FA" w14:textId="77777777" w:rsidR="008A7C7D" w:rsidRDefault="008A7C7D" w:rsidP="008A7C7D">
      <w:pPr>
        <w:pStyle w:val="paragraph"/>
        <w:spacing w:before="0" w:beforeAutospacing="0" w:after="0" w:afterAutospacing="0"/>
        <w:textAlignment w:val="baseline"/>
        <w:rPr>
          <w:rStyle w:val="normaltextrun"/>
          <w:rFonts w:eastAsiaTheme="majorEastAsia"/>
        </w:rPr>
      </w:pPr>
      <w:r w:rsidRPr="73629EB7">
        <w:rPr>
          <w:rStyle w:val="normaltextrun"/>
          <w:rFonts w:eastAsiaTheme="majorEastAsia"/>
        </w:rPr>
        <w:t>The</w:t>
      </w:r>
      <w:r w:rsidRPr="73629EB7">
        <w:t xml:space="preserve"> purpose of this policy is to establish a disbursement process to assure compliance with the provisions of N.C.G.S. § 159-28 that govern the disbursement of public monies. </w:t>
      </w:r>
      <w:r w:rsidRPr="73629EB7">
        <w:rPr>
          <w:rStyle w:val="normaltextrun"/>
          <w:rFonts w:eastAsiaTheme="majorEastAsia"/>
        </w:rPr>
        <w:t xml:space="preserve">The terms of this policy shall apply to the finance officer, any deputy finance officer(s) duly appointed by the governing board, and any other elected official or employee responsible for the disbursement of public monies. </w:t>
      </w:r>
    </w:p>
    <w:p w14:paraId="061B3B9A" w14:textId="77777777" w:rsidR="008A7C7D" w:rsidRDefault="008A7C7D" w:rsidP="008A7C7D">
      <w:pPr>
        <w:pStyle w:val="paragraph"/>
        <w:spacing w:before="0" w:beforeAutospacing="0" w:after="0" w:afterAutospacing="0"/>
        <w:textAlignment w:val="baseline"/>
        <w:rPr>
          <w:rStyle w:val="normaltextrun"/>
          <w:rFonts w:eastAsiaTheme="majorEastAsia"/>
        </w:rPr>
      </w:pPr>
    </w:p>
    <w:p w14:paraId="5DCA410F" w14:textId="77777777" w:rsidR="008A7C7D" w:rsidRDefault="008A7C7D" w:rsidP="008A7C7D">
      <w:pPr>
        <w:pStyle w:val="paragraph"/>
        <w:numPr>
          <w:ilvl w:val="0"/>
          <w:numId w:val="2"/>
        </w:numPr>
        <w:spacing w:before="0" w:beforeAutospacing="0" w:after="0" w:afterAutospacing="0"/>
        <w:ind w:hanging="720"/>
        <w:rPr>
          <w:rStyle w:val="normaltextrun"/>
          <w:rFonts w:eastAsiaTheme="majorEastAsia"/>
          <w:b/>
          <w:bCs/>
          <w:u w:val="single"/>
        </w:rPr>
      </w:pPr>
      <w:r w:rsidRPr="73629EB7">
        <w:rPr>
          <w:rStyle w:val="normaltextrun"/>
          <w:rFonts w:eastAsiaTheme="majorEastAsia"/>
          <w:b/>
          <w:bCs/>
          <w:u w:val="single"/>
        </w:rPr>
        <w:t>Disbursement Process for Non-Electronic Payments (e.g., checks and bank drafts)</w:t>
      </w:r>
    </w:p>
    <w:p w14:paraId="332ECC8B" w14:textId="77777777" w:rsidR="008A7C7D" w:rsidRDefault="008A7C7D" w:rsidP="008A7C7D">
      <w:pPr>
        <w:spacing w:after="0"/>
        <w:rPr>
          <w:rFonts w:ascii="Times New Roman" w:eastAsia="Times New Roman" w:hAnsi="Times New Roman" w:cs="Times New Roman"/>
          <w:sz w:val="24"/>
          <w:szCs w:val="24"/>
        </w:rPr>
      </w:pPr>
    </w:p>
    <w:p w14:paraId="2569C026" w14:textId="77777777" w:rsidR="008A7C7D" w:rsidRPr="009A3CE2" w:rsidRDefault="008A7C7D" w:rsidP="008A7C7D">
      <w:pPr>
        <w:spacing w:after="0" w:line="240" w:lineRule="auto"/>
        <w:rPr>
          <w:rFonts w:ascii="Times New Roman" w:eastAsia="Times New Roman" w:hAnsi="Times New Roman" w:cs="Times New Roman"/>
          <w:sz w:val="24"/>
          <w:szCs w:val="24"/>
        </w:rPr>
      </w:pPr>
      <w:r w:rsidRPr="73629EB7">
        <w:rPr>
          <w:rFonts w:ascii="Times New Roman" w:eastAsia="Times New Roman" w:hAnsi="Times New Roman" w:cs="Times New Roman"/>
          <w:sz w:val="24"/>
          <w:szCs w:val="24"/>
        </w:rPr>
        <w:t>When a bill, invoice, or other claim is presented against the town, the finance officer or deputy finance officer shall take the following steps prior to authorizing the disbursement of public monies:</w:t>
      </w:r>
    </w:p>
    <w:p w14:paraId="64FD2880" w14:textId="77777777" w:rsidR="008A7C7D" w:rsidRDefault="008A7C7D" w:rsidP="008A7C7D">
      <w:pPr>
        <w:spacing w:after="0" w:line="240" w:lineRule="auto"/>
        <w:rPr>
          <w:rFonts w:ascii="Times New Roman" w:eastAsia="Times New Roman" w:hAnsi="Times New Roman" w:cs="Times New Roman"/>
          <w:sz w:val="24"/>
          <w:szCs w:val="24"/>
        </w:rPr>
      </w:pPr>
    </w:p>
    <w:p w14:paraId="5F07A744" w14:textId="77777777" w:rsidR="008A7C7D" w:rsidRPr="009A3CE2" w:rsidRDefault="008A7C7D" w:rsidP="008A7C7D">
      <w:pPr>
        <w:pStyle w:val="ListParagraph"/>
        <w:numPr>
          <w:ilvl w:val="0"/>
          <w:numId w:val="3"/>
        </w:numPr>
        <w:spacing w:after="0" w:line="240" w:lineRule="auto"/>
        <w:ind w:left="720"/>
        <w:rPr>
          <w:rFonts w:ascii="Times New Roman" w:eastAsia="Times New Roman" w:hAnsi="Times New Roman" w:cs="Times New Roman"/>
          <w:sz w:val="24"/>
          <w:szCs w:val="24"/>
        </w:rPr>
      </w:pPr>
      <w:r w:rsidRPr="73629EB7">
        <w:rPr>
          <w:rFonts w:ascii="Times New Roman" w:eastAsia="Times New Roman" w:hAnsi="Times New Roman" w:cs="Times New Roman"/>
          <w:b/>
          <w:bCs/>
          <w:sz w:val="24"/>
          <w:szCs w:val="24"/>
        </w:rPr>
        <w:t>Determine Payable Amount:</w:t>
      </w:r>
      <w:r w:rsidRPr="73629EB7">
        <w:rPr>
          <w:rFonts w:ascii="Times New Roman" w:eastAsia="Times New Roman" w:hAnsi="Times New Roman" w:cs="Times New Roman"/>
          <w:sz w:val="24"/>
          <w:szCs w:val="24"/>
        </w:rPr>
        <w:t xml:space="preserve"> The finance officer/deputy finance officer shall determine the amount payable and verify that the amount is due and owing. To do so, the finance officer/deputy finance officer shall:</w:t>
      </w:r>
    </w:p>
    <w:p w14:paraId="43A8C3B4" w14:textId="77777777" w:rsidR="008A7C7D" w:rsidRDefault="008A7C7D" w:rsidP="008A7C7D">
      <w:pPr>
        <w:spacing w:after="0" w:line="240" w:lineRule="auto"/>
        <w:rPr>
          <w:rFonts w:ascii="Times New Roman" w:eastAsia="Times New Roman" w:hAnsi="Times New Roman" w:cs="Times New Roman"/>
          <w:sz w:val="24"/>
          <w:szCs w:val="24"/>
        </w:rPr>
      </w:pPr>
    </w:p>
    <w:p w14:paraId="3C68AEBA" w14:textId="77777777" w:rsidR="008A7C7D" w:rsidRPr="009A3CE2" w:rsidRDefault="008A7C7D" w:rsidP="008A7C7D">
      <w:pPr>
        <w:pStyle w:val="ListParagraph"/>
        <w:numPr>
          <w:ilvl w:val="1"/>
          <w:numId w:val="3"/>
        </w:numPr>
        <w:spacing w:after="0" w:line="240" w:lineRule="auto"/>
        <w:ind w:left="1080"/>
        <w:rPr>
          <w:rFonts w:ascii="Times New Roman" w:eastAsia="Times New Roman" w:hAnsi="Times New Roman" w:cs="Times New Roman"/>
          <w:sz w:val="24"/>
          <w:szCs w:val="24"/>
        </w:rPr>
      </w:pPr>
      <w:r w:rsidRPr="73629EB7">
        <w:rPr>
          <w:rFonts w:ascii="Times New Roman" w:eastAsia="Times New Roman" w:hAnsi="Times New Roman" w:cs="Times New Roman"/>
          <w:sz w:val="24"/>
          <w:szCs w:val="24"/>
        </w:rPr>
        <w:t xml:space="preserve">Confirm that the preaudit process was performed in accordance with the process established in the preaudit policy; and  </w:t>
      </w:r>
    </w:p>
    <w:p w14:paraId="1703E359" w14:textId="77777777" w:rsidR="008A7C7D" w:rsidRDefault="008A7C7D" w:rsidP="008A7C7D">
      <w:pPr>
        <w:spacing w:after="0" w:line="240" w:lineRule="auto"/>
        <w:ind w:left="1080" w:hanging="360"/>
        <w:rPr>
          <w:rFonts w:ascii="Times New Roman" w:eastAsia="Times New Roman" w:hAnsi="Times New Roman" w:cs="Times New Roman"/>
          <w:sz w:val="24"/>
          <w:szCs w:val="24"/>
        </w:rPr>
      </w:pPr>
    </w:p>
    <w:p w14:paraId="0B3595A4" w14:textId="77777777" w:rsidR="008A7C7D" w:rsidRPr="009A3CE2" w:rsidRDefault="008A7C7D" w:rsidP="008A7C7D">
      <w:pPr>
        <w:pStyle w:val="ListParagraph"/>
        <w:numPr>
          <w:ilvl w:val="1"/>
          <w:numId w:val="3"/>
        </w:numPr>
        <w:spacing w:after="0" w:line="240" w:lineRule="auto"/>
        <w:ind w:left="1080"/>
        <w:rPr>
          <w:rFonts w:ascii="Times New Roman" w:eastAsia="Times New Roman" w:hAnsi="Times New Roman" w:cs="Times New Roman"/>
          <w:sz w:val="24"/>
          <w:szCs w:val="24"/>
        </w:rPr>
      </w:pPr>
      <w:r w:rsidRPr="73629EB7">
        <w:rPr>
          <w:rFonts w:ascii="Times New Roman" w:eastAsia="Times New Roman" w:hAnsi="Times New Roman" w:cs="Times New Roman"/>
          <w:sz w:val="24"/>
          <w:szCs w:val="24"/>
        </w:rPr>
        <w:t xml:space="preserve">Review the purchase order, contract, or other agreement against the goods received or services to be performed to ensure the contract requirements were satisfied and that the amount claimed is payable. </w:t>
      </w:r>
    </w:p>
    <w:p w14:paraId="21BA72EC" w14:textId="77777777" w:rsidR="008A7C7D" w:rsidRDefault="008A7C7D" w:rsidP="008A7C7D">
      <w:pPr>
        <w:spacing w:after="0" w:line="240" w:lineRule="auto"/>
        <w:rPr>
          <w:rFonts w:ascii="Times New Roman" w:eastAsia="Times New Roman" w:hAnsi="Times New Roman" w:cs="Times New Roman"/>
          <w:sz w:val="24"/>
          <w:szCs w:val="24"/>
        </w:rPr>
      </w:pPr>
    </w:p>
    <w:p w14:paraId="08D78002" w14:textId="77777777" w:rsidR="008A7C7D" w:rsidRPr="009A3CE2" w:rsidRDefault="008A7C7D" w:rsidP="008A7C7D">
      <w:pPr>
        <w:pStyle w:val="ListParagraph"/>
        <w:numPr>
          <w:ilvl w:val="2"/>
          <w:numId w:val="3"/>
        </w:numPr>
        <w:spacing w:after="0" w:line="240" w:lineRule="auto"/>
        <w:ind w:left="1800" w:hanging="360"/>
        <w:rPr>
          <w:rFonts w:ascii="Times New Roman" w:eastAsia="Times New Roman" w:hAnsi="Times New Roman" w:cs="Times New Roman"/>
          <w:sz w:val="24"/>
          <w:szCs w:val="24"/>
        </w:rPr>
      </w:pPr>
      <w:r w:rsidRPr="73629EB7">
        <w:rPr>
          <w:rFonts w:ascii="Times New Roman" w:eastAsia="Times New Roman" w:hAnsi="Times New Roman" w:cs="Times New Roman"/>
          <w:sz w:val="24"/>
          <w:szCs w:val="24"/>
        </w:rPr>
        <w:t xml:space="preserve">If the amount claimed is not due and owing because the goods/services were not received/completed, or if the preaudit process was not performed in accordance with the preaudit policy requirements, the finance officer/deputy finance officer shall not authorize the disbursement. </w:t>
      </w:r>
    </w:p>
    <w:p w14:paraId="4E569003" w14:textId="77777777" w:rsidR="008A7C7D" w:rsidRPr="009A3CE2" w:rsidRDefault="008A7C7D" w:rsidP="008A7C7D">
      <w:pPr>
        <w:spacing w:after="0" w:line="240" w:lineRule="auto"/>
        <w:rPr>
          <w:rFonts w:ascii="Times New Roman" w:eastAsia="Times New Roman" w:hAnsi="Times New Roman" w:cs="Times New Roman"/>
          <w:sz w:val="24"/>
          <w:szCs w:val="24"/>
        </w:rPr>
      </w:pPr>
    </w:p>
    <w:p w14:paraId="69DFA146" w14:textId="77777777" w:rsidR="008A7C7D" w:rsidRPr="009A3CE2" w:rsidRDefault="008A7C7D" w:rsidP="008A7C7D">
      <w:pPr>
        <w:pStyle w:val="ListParagraph"/>
        <w:numPr>
          <w:ilvl w:val="0"/>
          <w:numId w:val="3"/>
        </w:numPr>
        <w:spacing w:after="0" w:line="240" w:lineRule="auto"/>
        <w:ind w:left="720"/>
        <w:rPr>
          <w:rFonts w:ascii="Times New Roman" w:eastAsia="Times New Roman" w:hAnsi="Times New Roman" w:cs="Times New Roman"/>
          <w:sz w:val="24"/>
          <w:szCs w:val="24"/>
        </w:rPr>
      </w:pPr>
      <w:r w:rsidRPr="73629EB7">
        <w:rPr>
          <w:rFonts w:ascii="Times New Roman" w:eastAsia="Times New Roman" w:hAnsi="Times New Roman" w:cs="Times New Roman"/>
          <w:b/>
          <w:bCs/>
          <w:sz w:val="24"/>
          <w:szCs w:val="24"/>
        </w:rPr>
        <w:t xml:space="preserve">Verify Budget Appropriation: </w:t>
      </w:r>
      <w:r w:rsidRPr="73629EB7">
        <w:rPr>
          <w:rFonts w:ascii="Times New Roman" w:eastAsia="Times New Roman" w:hAnsi="Times New Roman" w:cs="Times New Roman"/>
          <w:sz w:val="24"/>
          <w:szCs w:val="24"/>
        </w:rPr>
        <w:t xml:space="preserve">The finance officer/deputy finance officer shall verify that there is still an appropriation authorizing the expenditure annual </w:t>
      </w:r>
      <w:bookmarkStart w:id="0" w:name="_Int_rNgHijLX"/>
      <w:r w:rsidRPr="73629EB7">
        <w:rPr>
          <w:rFonts w:ascii="Times New Roman" w:eastAsia="Times New Roman" w:hAnsi="Times New Roman" w:cs="Times New Roman"/>
          <w:sz w:val="24"/>
          <w:szCs w:val="24"/>
        </w:rPr>
        <w:t>budget ordinance or project</w:t>
      </w:r>
      <w:bookmarkEnd w:id="0"/>
      <w:r w:rsidRPr="73629EB7">
        <w:rPr>
          <w:rFonts w:ascii="Times New Roman" w:eastAsia="Times New Roman" w:hAnsi="Times New Roman" w:cs="Times New Roman"/>
          <w:sz w:val="24"/>
          <w:szCs w:val="24"/>
        </w:rPr>
        <w:t xml:space="preserve"> ordinance. </w:t>
      </w:r>
    </w:p>
    <w:p w14:paraId="433AE0A2" w14:textId="77777777" w:rsidR="008A7C7D" w:rsidRPr="009A3CE2" w:rsidRDefault="008A7C7D" w:rsidP="008A7C7D">
      <w:pPr>
        <w:pStyle w:val="ListParagraph"/>
        <w:spacing w:after="0" w:line="240" w:lineRule="auto"/>
        <w:ind w:left="0"/>
        <w:rPr>
          <w:rFonts w:ascii="Times New Roman" w:eastAsia="Times New Roman" w:hAnsi="Times New Roman" w:cs="Times New Roman"/>
          <w:sz w:val="24"/>
          <w:szCs w:val="24"/>
        </w:rPr>
      </w:pPr>
    </w:p>
    <w:p w14:paraId="44C87766" w14:textId="77777777" w:rsidR="008A7C7D" w:rsidRPr="009A3CE2" w:rsidRDefault="008A7C7D" w:rsidP="008A7C7D">
      <w:pPr>
        <w:pStyle w:val="ListParagraph"/>
        <w:numPr>
          <w:ilvl w:val="0"/>
          <w:numId w:val="3"/>
        </w:numPr>
        <w:spacing w:after="0" w:line="240" w:lineRule="auto"/>
        <w:ind w:left="720"/>
        <w:rPr>
          <w:rFonts w:ascii="Times New Roman" w:eastAsia="Times New Roman" w:hAnsi="Times New Roman" w:cs="Times New Roman"/>
          <w:sz w:val="24"/>
          <w:szCs w:val="24"/>
        </w:rPr>
      </w:pPr>
      <w:r w:rsidRPr="73629EB7">
        <w:rPr>
          <w:rFonts w:ascii="Times New Roman" w:eastAsia="Times New Roman" w:hAnsi="Times New Roman" w:cs="Times New Roman"/>
          <w:b/>
          <w:bCs/>
          <w:sz w:val="24"/>
          <w:szCs w:val="24"/>
        </w:rPr>
        <w:t xml:space="preserve">Verify Budgeted Funds Remain: </w:t>
      </w:r>
      <w:r w:rsidRPr="73629EB7">
        <w:rPr>
          <w:rFonts w:ascii="Times New Roman" w:eastAsia="Times New Roman" w:hAnsi="Times New Roman" w:cs="Times New Roman"/>
          <w:sz w:val="24"/>
          <w:szCs w:val="24"/>
        </w:rPr>
        <w:t xml:space="preserve">The finance officer/deputy finance officer shall verify that the budget appropriation contains sufficient funds to pay the amount due. The finance officer/deputy shall consider if: (1) an encumbrance has been previously created for the transactions; or (2) if an unencumbered balance remains in the appropriate </w:t>
      </w:r>
      <w:r w:rsidRPr="73629EB7">
        <w:rPr>
          <w:rFonts w:ascii="Times New Roman" w:eastAsia="Times New Roman" w:hAnsi="Times New Roman" w:cs="Times New Roman"/>
          <w:sz w:val="24"/>
          <w:szCs w:val="24"/>
        </w:rPr>
        <w:lastRenderedPageBreak/>
        <w:t>sufficient to pay the amount to be disbursed. If sufficient unencumbered funds do not remain in the appropriation, the disbursement shall not be authorized.</w:t>
      </w:r>
      <w:r w:rsidRPr="73629EB7">
        <w:rPr>
          <w:rStyle w:val="FootnoteReference"/>
          <w:rFonts w:ascii="Times New Roman" w:eastAsia="Times New Roman" w:hAnsi="Times New Roman" w:cs="Times New Roman"/>
          <w:sz w:val="24"/>
          <w:szCs w:val="24"/>
        </w:rPr>
        <w:footnoteReference w:id="1"/>
      </w:r>
    </w:p>
    <w:p w14:paraId="59996802" w14:textId="77777777" w:rsidR="008A7C7D" w:rsidRPr="009A3CE2" w:rsidRDefault="008A7C7D" w:rsidP="008A7C7D">
      <w:pPr>
        <w:spacing w:after="0" w:line="240" w:lineRule="auto"/>
        <w:rPr>
          <w:rFonts w:ascii="Times New Roman" w:eastAsia="Times New Roman" w:hAnsi="Times New Roman" w:cs="Times New Roman"/>
          <w:sz w:val="24"/>
          <w:szCs w:val="24"/>
        </w:rPr>
      </w:pPr>
    </w:p>
    <w:p w14:paraId="6D37FA67" w14:textId="77777777" w:rsidR="008A7C7D" w:rsidRPr="009A3CE2" w:rsidRDefault="008A7C7D" w:rsidP="008A7C7D">
      <w:pPr>
        <w:pStyle w:val="ListParagraph"/>
        <w:numPr>
          <w:ilvl w:val="0"/>
          <w:numId w:val="3"/>
        </w:numPr>
        <w:spacing w:after="0" w:line="240" w:lineRule="auto"/>
        <w:ind w:left="720"/>
        <w:textAlignment w:val="baseline"/>
        <w:rPr>
          <w:rFonts w:ascii="Times New Roman" w:eastAsia="Times New Roman" w:hAnsi="Times New Roman" w:cs="Times New Roman"/>
          <w:sz w:val="24"/>
          <w:szCs w:val="24"/>
        </w:rPr>
      </w:pPr>
      <w:r w:rsidRPr="73629EB7">
        <w:rPr>
          <w:rFonts w:ascii="Times New Roman" w:eastAsia="Times New Roman" w:hAnsi="Times New Roman" w:cs="Times New Roman"/>
          <w:b/>
          <w:bCs/>
          <w:sz w:val="24"/>
          <w:szCs w:val="24"/>
        </w:rPr>
        <w:t xml:space="preserve">Affix and Sign Disbursement Certificate: </w:t>
      </w:r>
      <w:r w:rsidRPr="73629EB7">
        <w:rPr>
          <w:rFonts w:ascii="Times New Roman" w:eastAsia="Times New Roman" w:hAnsi="Times New Roman" w:cs="Times New Roman"/>
          <w:sz w:val="24"/>
          <w:szCs w:val="24"/>
        </w:rPr>
        <w:t>The finance officer or deputy finance officer shall include a disbursement certificate on the face of each check or draft on an official depository. The certificate shall be signed and dated by the finance officer or deputy finance officer and shall take substantially the following form: “</w:t>
      </w:r>
      <w:r w:rsidRPr="6E003133">
        <w:rPr>
          <w:rFonts w:ascii="Times New Roman" w:eastAsia="Times New Roman" w:hAnsi="Times New Roman" w:cs="Times New Roman"/>
          <w:sz w:val="24"/>
          <w:szCs w:val="24"/>
        </w:rPr>
        <w:t>This disbursement has been approved as required by the Local Government Budget and Fiscal Control Act.”</w:t>
      </w:r>
    </w:p>
    <w:p w14:paraId="178E2DEB" w14:textId="77777777" w:rsidR="008A7C7D" w:rsidRPr="009A3CE2" w:rsidRDefault="008A7C7D" w:rsidP="008A7C7D">
      <w:pPr>
        <w:spacing w:after="0" w:line="240" w:lineRule="auto"/>
        <w:textAlignment w:val="baseline"/>
        <w:rPr>
          <w:rFonts w:ascii="Times New Roman" w:eastAsia="Times New Roman" w:hAnsi="Times New Roman" w:cs="Times New Roman"/>
          <w:b/>
          <w:bCs/>
          <w:sz w:val="24"/>
          <w:szCs w:val="24"/>
        </w:rPr>
      </w:pPr>
    </w:p>
    <w:p w14:paraId="44844472" w14:textId="77777777" w:rsidR="008A7C7D" w:rsidRPr="009A3CE2" w:rsidRDefault="008A7C7D" w:rsidP="008A7C7D">
      <w:pPr>
        <w:pStyle w:val="paragraph"/>
        <w:numPr>
          <w:ilvl w:val="0"/>
          <w:numId w:val="2"/>
        </w:numPr>
        <w:spacing w:before="0" w:beforeAutospacing="0" w:after="0" w:afterAutospacing="0"/>
        <w:ind w:hanging="720"/>
        <w:textAlignment w:val="baseline"/>
        <w:rPr>
          <w:b/>
          <w:u w:val="single"/>
        </w:rPr>
      </w:pPr>
      <w:r w:rsidRPr="6E003133">
        <w:rPr>
          <w:b/>
          <w:u w:val="single"/>
        </w:rPr>
        <w:t xml:space="preserve">Disbursement Process for Electronic Payments </w:t>
      </w:r>
      <w:r w:rsidRPr="6E003133">
        <w:rPr>
          <w:u w:val="single"/>
        </w:rPr>
        <w:t>(charge cards, credit cards, debit cards, gas cards, P-cards, ACH payments</w:t>
      </w:r>
      <w:r w:rsidRPr="6E003133">
        <w:rPr>
          <w:b/>
          <w:u w:val="single"/>
        </w:rPr>
        <w:t>)</w:t>
      </w:r>
    </w:p>
    <w:p w14:paraId="2142AC79" w14:textId="77777777" w:rsidR="008A7C7D" w:rsidRPr="009A3CE2" w:rsidRDefault="008A7C7D" w:rsidP="008A7C7D">
      <w:pPr>
        <w:pStyle w:val="paragraph"/>
        <w:spacing w:before="0" w:beforeAutospacing="0" w:after="0" w:afterAutospacing="0"/>
        <w:textAlignment w:val="baseline"/>
      </w:pPr>
    </w:p>
    <w:p w14:paraId="15DF5662" w14:textId="77777777" w:rsidR="008A7C7D" w:rsidRPr="009A3CE2" w:rsidRDefault="008A7C7D" w:rsidP="008A7C7D">
      <w:pPr>
        <w:pStyle w:val="paragraph"/>
        <w:spacing w:before="0" w:beforeAutospacing="0" w:after="0" w:afterAutospacing="0"/>
        <w:textAlignment w:val="baseline"/>
      </w:pPr>
      <w:r w:rsidRPr="73629EB7">
        <w:t xml:space="preserve">Before any bill, invoice, or other claim is to be paid by electronic fund transfer, which includes payments made using charge cards, credit cards, debit cards, gas cards, procurement cards, or ACH payments, the finance officer/deputy finance officer shall take comply with the below disbursement process </w:t>
      </w:r>
      <w:r>
        <w:t>before</w:t>
      </w:r>
      <w:r w:rsidRPr="73629EB7">
        <w:t xml:space="preserve"> authorizing the electronic payment:</w:t>
      </w:r>
    </w:p>
    <w:p w14:paraId="34019876" w14:textId="77777777" w:rsidR="008A7C7D" w:rsidRPr="009A3CE2" w:rsidRDefault="008A7C7D" w:rsidP="008A7C7D">
      <w:pPr>
        <w:spacing w:after="0" w:line="240" w:lineRule="auto"/>
        <w:textAlignment w:val="baseline"/>
        <w:rPr>
          <w:rFonts w:ascii="Times New Roman" w:eastAsia="Times New Roman" w:hAnsi="Times New Roman" w:cs="Times New Roman"/>
          <w:sz w:val="24"/>
          <w:szCs w:val="24"/>
        </w:rPr>
      </w:pPr>
    </w:p>
    <w:p w14:paraId="3C42BCCF" w14:textId="77777777" w:rsidR="008A7C7D" w:rsidRPr="009A3CE2" w:rsidRDefault="008A7C7D" w:rsidP="008A7C7D">
      <w:pPr>
        <w:pStyle w:val="ListParagraph"/>
        <w:numPr>
          <w:ilvl w:val="0"/>
          <w:numId w:val="1"/>
        </w:numPr>
        <w:spacing w:after="0" w:line="240" w:lineRule="auto"/>
        <w:textAlignment w:val="baseline"/>
        <w:rPr>
          <w:rFonts w:ascii="Times New Roman" w:eastAsia="Times New Roman" w:hAnsi="Times New Roman" w:cs="Times New Roman"/>
          <w:sz w:val="24"/>
          <w:szCs w:val="24"/>
        </w:rPr>
      </w:pPr>
      <w:r w:rsidRPr="73629EB7">
        <w:rPr>
          <w:rFonts w:ascii="Times New Roman" w:eastAsia="Times New Roman" w:hAnsi="Times New Roman" w:cs="Times New Roman"/>
          <w:b/>
          <w:bCs/>
          <w:sz w:val="24"/>
          <w:szCs w:val="24"/>
        </w:rPr>
        <w:t>Ensure the Amount claimed is Payable:</w:t>
      </w:r>
      <w:r w:rsidRPr="73629EB7">
        <w:rPr>
          <w:rFonts w:ascii="Times New Roman" w:eastAsia="Times New Roman" w:hAnsi="Times New Roman" w:cs="Times New Roman"/>
          <w:sz w:val="24"/>
          <w:szCs w:val="24"/>
        </w:rPr>
        <w:t xml:space="preserve"> The finance officer or deputy finance officer shall determine whether </w:t>
      </w:r>
      <w:r>
        <w:rPr>
          <w:rFonts w:ascii="Times New Roman" w:eastAsia="Times New Roman" w:hAnsi="Times New Roman" w:cs="Times New Roman"/>
          <w:sz w:val="24"/>
          <w:szCs w:val="24"/>
        </w:rPr>
        <w:t xml:space="preserve">the </w:t>
      </w:r>
      <w:r w:rsidRPr="73629EB7">
        <w:rPr>
          <w:rFonts w:ascii="Times New Roman" w:eastAsia="Times New Roman" w:hAnsi="Times New Roman" w:cs="Times New Roman"/>
          <w:sz w:val="24"/>
          <w:szCs w:val="24"/>
        </w:rPr>
        <w:t>amount claimed is payable.</w:t>
      </w:r>
    </w:p>
    <w:p w14:paraId="67523826" w14:textId="77777777" w:rsidR="008A7C7D" w:rsidRPr="009A3CE2" w:rsidRDefault="008A7C7D" w:rsidP="008A7C7D">
      <w:pPr>
        <w:spacing w:after="0" w:line="240" w:lineRule="auto"/>
        <w:textAlignment w:val="baseline"/>
        <w:rPr>
          <w:rFonts w:ascii="Times New Roman" w:eastAsia="Times New Roman" w:hAnsi="Times New Roman" w:cs="Times New Roman"/>
          <w:sz w:val="24"/>
          <w:szCs w:val="24"/>
        </w:rPr>
      </w:pPr>
    </w:p>
    <w:p w14:paraId="5840F9AC" w14:textId="77777777" w:rsidR="008A7C7D" w:rsidRPr="009A3CE2" w:rsidRDefault="008A7C7D" w:rsidP="008A7C7D">
      <w:pPr>
        <w:pStyle w:val="ListParagraph"/>
        <w:numPr>
          <w:ilvl w:val="0"/>
          <w:numId w:val="1"/>
        </w:numPr>
        <w:spacing w:after="0" w:line="240" w:lineRule="auto"/>
        <w:textAlignment w:val="baseline"/>
        <w:rPr>
          <w:rFonts w:ascii="Times New Roman" w:eastAsia="Times New Roman" w:hAnsi="Times New Roman" w:cs="Times New Roman"/>
          <w:sz w:val="24"/>
          <w:szCs w:val="24"/>
        </w:rPr>
      </w:pPr>
      <w:r w:rsidRPr="73629EB7">
        <w:rPr>
          <w:rFonts w:ascii="Times New Roman" w:eastAsia="Times New Roman" w:hAnsi="Times New Roman" w:cs="Times New Roman"/>
          <w:b/>
          <w:bCs/>
          <w:sz w:val="24"/>
          <w:szCs w:val="24"/>
        </w:rPr>
        <w:t xml:space="preserve">Verify Budget Appropriation: </w:t>
      </w:r>
      <w:r w:rsidRPr="73629EB7">
        <w:rPr>
          <w:rFonts w:ascii="Times New Roman" w:eastAsia="Times New Roman" w:hAnsi="Times New Roman" w:cs="Times New Roman"/>
          <w:sz w:val="24"/>
          <w:szCs w:val="24"/>
        </w:rPr>
        <w:t xml:space="preserve">The finance officer/deputy finance officer shall verify that there is still an appropriation authorizing the expenditure in the annual budget ordinance or a project ordinance. </w:t>
      </w:r>
    </w:p>
    <w:p w14:paraId="4FB71C97" w14:textId="77777777" w:rsidR="008A7C7D" w:rsidRPr="009A3CE2" w:rsidRDefault="008A7C7D" w:rsidP="008A7C7D">
      <w:pPr>
        <w:spacing w:after="0" w:line="240" w:lineRule="auto"/>
        <w:textAlignment w:val="baseline"/>
        <w:rPr>
          <w:rFonts w:ascii="Times New Roman" w:eastAsia="Times New Roman" w:hAnsi="Times New Roman" w:cs="Times New Roman"/>
          <w:sz w:val="24"/>
          <w:szCs w:val="24"/>
        </w:rPr>
      </w:pPr>
    </w:p>
    <w:p w14:paraId="3ED0B648" w14:textId="77777777" w:rsidR="008A7C7D" w:rsidRPr="009A3CE2" w:rsidRDefault="008A7C7D" w:rsidP="008A7C7D">
      <w:pPr>
        <w:pStyle w:val="ListParagraph"/>
        <w:numPr>
          <w:ilvl w:val="0"/>
          <w:numId w:val="1"/>
        </w:numPr>
        <w:spacing w:after="0" w:line="240" w:lineRule="auto"/>
        <w:textAlignment w:val="baseline"/>
        <w:rPr>
          <w:rFonts w:ascii="Times New Roman" w:eastAsia="Times New Roman" w:hAnsi="Times New Roman" w:cs="Times New Roman"/>
          <w:sz w:val="24"/>
          <w:szCs w:val="24"/>
        </w:rPr>
      </w:pPr>
      <w:r w:rsidRPr="73629EB7">
        <w:rPr>
          <w:rFonts w:ascii="Times New Roman" w:eastAsia="Times New Roman" w:hAnsi="Times New Roman" w:cs="Times New Roman"/>
          <w:b/>
          <w:bCs/>
          <w:sz w:val="24"/>
          <w:szCs w:val="24"/>
        </w:rPr>
        <w:t xml:space="preserve">Verify Budgeted Funds Still Available: </w:t>
      </w:r>
      <w:r w:rsidRPr="73629EB7">
        <w:rPr>
          <w:rFonts w:ascii="Times New Roman" w:eastAsia="Times New Roman" w:hAnsi="Times New Roman" w:cs="Times New Roman"/>
          <w:sz w:val="24"/>
          <w:szCs w:val="24"/>
        </w:rPr>
        <w:t>The finance officer/deputy finance officer shall verify that sufficient funds remain in the appropriation to cover the amount that is due to be paid out during the current fiscal year if accounted for in the budget ordinance, pr to cover the entire amount if accounted for in a project/grant ordinance; and</w:t>
      </w:r>
    </w:p>
    <w:p w14:paraId="67EDB16F" w14:textId="77777777" w:rsidR="008A7C7D" w:rsidRPr="009A3CE2" w:rsidRDefault="008A7C7D" w:rsidP="008A7C7D">
      <w:pPr>
        <w:spacing w:after="0" w:line="240" w:lineRule="auto"/>
        <w:textAlignment w:val="baseline"/>
        <w:rPr>
          <w:rFonts w:ascii="Times New Roman" w:eastAsia="Times New Roman" w:hAnsi="Times New Roman" w:cs="Times New Roman"/>
          <w:sz w:val="24"/>
          <w:szCs w:val="24"/>
        </w:rPr>
      </w:pPr>
    </w:p>
    <w:p w14:paraId="24BCE1E4" w14:textId="77777777" w:rsidR="008A7C7D" w:rsidRPr="009A3CE2" w:rsidRDefault="008A7C7D" w:rsidP="008A7C7D">
      <w:pPr>
        <w:pStyle w:val="ListParagraph"/>
        <w:numPr>
          <w:ilvl w:val="0"/>
          <w:numId w:val="1"/>
        </w:numPr>
        <w:spacing w:after="0" w:line="240" w:lineRule="auto"/>
        <w:textAlignment w:val="baseline"/>
        <w:rPr>
          <w:rFonts w:ascii="Times New Roman" w:eastAsia="Times New Roman" w:hAnsi="Times New Roman" w:cs="Times New Roman"/>
          <w:sz w:val="24"/>
          <w:szCs w:val="24"/>
        </w:rPr>
      </w:pPr>
      <w:r w:rsidRPr="73629EB7">
        <w:rPr>
          <w:rFonts w:ascii="Times New Roman" w:eastAsia="Times New Roman" w:hAnsi="Times New Roman" w:cs="Times New Roman"/>
          <w:b/>
          <w:bCs/>
          <w:sz w:val="24"/>
          <w:szCs w:val="24"/>
        </w:rPr>
        <w:t xml:space="preserve">Ensure </w:t>
      </w:r>
      <w:r>
        <w:rPr>
          <w:rFonts w:ascii="Times New Roman" w:eastAsia="Times New Roman" w:hAnsi="Times New Roman" w:cs="Times New Roman"/>
          <w:b/>
          <w:bCs/>
          <w:sz w:val="24"/>
          <w:szCs w:val="24"/>
        </w:rPr>
        <w:t>S</w:t>
      </w:r>
      <w:r w:rsidRPr="73629EB7">
        <w:rPr>
          <w:rFonts w:ascii="Times New Roman" w:eastAsia="Times New Roman" w:hAnsi="Times New Roman" w:cs="Times New Roman"/>
          <w:b/>
          <w:bCs/>
          <w:sz w:val="24"/>
          <w:szCs w:val="24"/>
        </w:rPr>
        <w:t xml:space="preserve">ufficient </w:t>
      </w:r>
      <w:r>
        <w:rPr>
          <w:rFonts w:ascii="Times New Roman" w:eastAsia="Times New Roman" w:hAnsi="Times New Roman" w:cs="Times New Roman"/>
          <w:b/>
          <w:bCs/>
          <w:sz w:val="24"/>
          <w:szCs w:val="24"/>
        </w:rPr>
        <w:t>Cash on Hand</w:t>
      </w:r>
      <w:r w:rsidRPr="73629EB7">
        <w:rPr>
          <w:rFonts w:ascii="Times New Roman" w:eastAsia="Times New Roman" w:hAnsi="Times New Roman" w:cs="Times New Roman"/>
          <w:b/>
          <w:bCs/>
          <w:sz w:val="24"/>
          <w:szCs w:val="24"/>
        </w:rPr>
        <w:t xml:space="preserve"> to </w:t>
      </w:r>
      <w:r>
        <w:rPr>
          <w:rFonts w:ascii="Times New Roman" w:eastAsia="Times New Roman" w:hAnsi="Times New Roman" w:cs="Times New Roman"/>
          <w:b/>
          <w:bCs/>
          <w:sz w:val="24"/>
          <w:szCs w:val="24"/>
        </w:rPr>
        <w:t>C</w:t>
      </w:r>
      <w:r w:rsidRPr="73629EB7">
        <w:rPr>
          <w:rFonts w:ascii="Times New Roman" w:eastAsia="Times New Roman" w:hAnsi="Times New Roman" w:cs="Times New Roman"/>
          <w:b/>
          <w:bCs/>
          <w:sz w:val="24"/>
          <w:szCs w:val="24"/>
        </w:rPr>
        <w:t xml:space="preserve">over the </w:t>
      </w:r>
      <w:r>
        <w:rPr>
          <w:rFonts w:ascii="Times New Roman" w:eastAsia="Times New Roman" w:hAnsi="Times New Roman" w:cs="Times New Roman"/>
          <w:b/>
          <w:bCs/>
          <w:sz w:val="24"/>
          <w:szCs w:val="24"/>
        </w:rPr>
        <w:t>P</w:t>
      </w:r>
      <w:r w:rsidRPr="73629EB7">
        <w:rPr>
          <w:rFonts w:ascii="Times New Roman" w:eastAsia="Times New Roman" w:hAnsi="Times New Roman" w:cs="Times New Roman"/>
          <w:b/>
          <w:bCs/>
          <w:sz w:val="24"/>
          <w:szCs w:val="24"/>
        </w:rPr>
        <w:t xml:space="preserve">ayment: </w:t>
      </w:r>
      <w:r w:rsidRPr="73629EB7">
        <w:rPr>
          <w:rFonts w:ascii="Times New Roman" w:eastAsia="Times New Roman" w:hAnsi="Times New Roman" w:cs="Times New Roman"/>
          <w:sz w:val="24"/>
          <w:szCs w:val="24"/>
        </w:rPr>
        <w:t xml:space="preserve">The finance officer/deputy finance officer shall ensure there is sufficient </w:t>
      </w:r>
      <w:r>
        <w:rPr>
          <w:rFonts w:ascii="Times New Roman" w:eastAsia="Times New Roman" w:hAnsi="Times New Roman" w:cs="Times New Roman"/>
          <w:sz w:val="24"/>
          <w:szCs w:val="24"/>
        </w:rPr>
        <w:t>cash</w:t>
      </w:r>
      <w:r w:rsidRPr="73629EB7">
        <w:rPr>
          <w:rFonts w:ascii="Times New Roman" w:eastAsia="Times New Roman" w:hAnsi="Times New Roman" w:cs="Times New Roman"/>
          <w:sz w:val="24"/>
          <w:szCs w:val="24"/>
        </w:rPr>
        <w:t xml:space="preserve"> in the cash account to transfer out to cover the payment. </w:t>
      </w:r>
    </w:p>
    <w:p w14:paraId="7D32B740" w14:textId="77777777" w:rsidR="008A7C7D" w:rsidRPr="009A3CE2" w:rsidRDefault="008A7C7D" w:rsidP="008A7C7D">
      <w:pPr>
        <w:pStyle w:val="paragraph"/>
        <w:spacing w:before="0" w:beforeAutospacing="0" w:after="0" w:afterAutospacing="0"/>
        <w:textAlignment w:val="baseline"/>
        <w:rPr>
          <w:rStyle w:val="normaltextrun"/>
          <w:rFonts w:eastAsiaTheme="majorEastAsia"/>
          <w:b/>
          <w:bCs/>
          <w:u w:val="single"/>
        </w:rPr>
      </w:pPr>
    </w:p>
    <w:p w14:paraId="1DAD00C6" w14:textId="77777777" w:rsidR="008A7C7D" w:rsidRPr="009A3CE2" w:rsidRDefault="008A7C7D" w:rsidP="008A7C7D">
      <w:pPr>
        <w:pStyle w:val="paragraph"/>
        <w:numPr>
          <w:ilvl w:val="0"/>
          <w:numId w:val="2"/>
        </w:numPr>
        <w:spacing w:before="0" w:beforeAutospacing="0" w:after="0" w:afterAutospacing="0"/>
        <w:ind w:hanging="720"/>
        <w:textAlignment w:val="baseline"/>
        <w:rPr>
          <w:rStyle w:val="normaltextrun"/>
          <w:rFonts w:eastAsiaTheme="majorEastAsia"/>
          <w:b/>
          <w:bCs/>
          <w:u w:val="single"/>
        </w:rPr>
      </w:pPr>
      <w:r w:rsidRPr="73629EB7">
        <w:rPr>
          <w:rStyle w:val="normaltextrun"/>
          <w:rFonts w:eastAsiaTheme="majorEastAsia"/>
          <w:b/>
          <w:bCs/>
          <w:u w:val="single"/>
        </w:rPr>
        <w:t>Penalties for Non-Compliance</w:t>
      </w:r>
    </w:p>
    <w:p w14:paraId="11035C69" w14:textId="77777777" w:rsidR="008A7C7D" w:rsidRPr="009A3CE2" w:rsidRDefault="008A7C7D" w:rsidP="008A7C7D">
      <w:pPr>
        <w:spacing w:after="0" w:line="240" w:lineRule="auto"/>
        <w:textAlignment w:val="baseline"/>
        <w:rPr>
          <w:rFonts w:ascii="Times New Roman" w:eastAsia="Times New Roman" w:hAnsi="Times New Roman" w:cs="Times New Roman"/>
          <w:sz w:val="24"/>
          <w:szCs w:val="24"/>
        </w:rPr>
      </w:pPr>
    </w:p>
    <w:p w14:paraId="48FCEFA0" w14:textId="77777777" w:rsidR="008A7C7D" w:rsidRPr="009A3CE2" w:rsidRDefault="008A7C7D" w:rsidP="008A7C7D">
      <w:pPr>
        <w:spacing w:after="0" w:line="240" w:lineRule="auto"/>
        <w:textAlignment w:val="baseline"/>
        <w:rPr>
          <w:rFonts w:ascii="Times New Roman" w:eastAsia="Times New Roman" w:hAnsi="Times New Roman" w:cs="Times New Roman"/>
          <w:sz w:val="24"/>
          <w:szCs w:val="24"/>
        </w:rPr>
      </w:pPr>
      <w:r w:rsidRPr="73629EB7">
        <w:rPr>
          <w:rFonts w:ascii="Times New Roman" w:eastAsia="Times New Roman" w:hAnsi="Times New Roman" w:cs="Times New Roman"/>
          <w:sz w:val="24"/>
          <w:szCs w:val="24"/>
        </w:rPr>
        <w:t>If an officer or employee of a local government or public authority incurs an obligation or pays out or causes to be paid out any funds in violation of the preaudit and disbursement requirements set forth in G.S. § 159-28, that officer or employee, and the sureties on any official bond for that officer or employee, are liable for any sums so committed or disbursed.</w:t>
      </w:r>
    </w:p>
    <w:p w14:paraId="2A81B1E8" w14:textId="77777777" w:rsidR="008A7C7D" w:rsidRPr="009A3CE2" w:rsidRDefault="008A7C7D" w:rsidP="008A7C7D">
      <w:pPr>
        <w:pStyle w:val="paragraph"/>
        <w:spacing w:before="0" w:beforeAutospacing="0" w:after="0" w:afterAutospacing="0"/>
        <w:textAlignment w:val="baseline"/>
      </w:pPr>
    </w:p>
    <w:p w14:paraId="4C92D085" w14:textId="77777777" w:rsidR="008A7C7D" w:rsidRPr="009A3CE2" w:rsidRDefault="008A7C7D" w:rsidP="008A7C7D">
      <w:pPr>
        <w:spacing w:after="0" w:line="240" w:lineRule="auto"/>
        <w:rPr>
          <w:rFonts w:ascii="Times New Roman" w:eastAsia="Times New Roman" w:hAnsi="Times New Roman" w:cs="Times New Roman"/>
          <w:sz w:val="24"/>
          <w:szCs w:val="24"/>
        </w:rPr>
      </w:pPr>
      <w:r w:rsidRPr="73629EB7">
        <w:rPr>
          <w:rFonts w:ascii="Times New Roman" w:eastAsia="Times New Roman" w:hAnsi="Times New Roman" w:cs="Times New Roman"/>
          <w:sz w:val="24"/>
          <w:szCs w:val="24"/>
        </w:rPr>
        <w:t xml:space="preserve"> If the finance officer or any duly appointed deputy finance officer gives a false disbursement certificate to any contract, agreement, purchase order, check, draft, or other document, the </w:t>
      </w:r>
      <w:r w:rsidRPr="73629EB7">
        <w:rPr>
          <w:rFonts w:ascii="Times New Roman" w:eastAsia="Times New Roman" w:hAnsi="Times New Roman" w:cs="Times New Roman"/>
          <w:sz w:val="24"/>
          <w:szCs w:val="24"/>
        </w:rPr>
        <w:lastRenderedPageBreak/>
        <w:t>finance officer or duly appointed deputy finance officer, and the sureties on any official bond, are liable for any sums illegally committed or disbursed thereby.</w:t>
      </w:r>
    </w:p>
    <w:p w14:paraId="375663D8" w14:textId="77777777" w:rsidR="008A7C7D" w:rsidRDefault="008A7C7D" w:rsidP="008A7C7D">
      <w:pPr>
        <w:spacing w:after="0" w:line="240" w:lineRule="auto"/>
        <w:rPr>
          <w:rFonts w:ascii="Times New Roman" w:eastAsia="Times New Roman" w:hAnsi="Times New Roman" w:cs="Times New Roman"/>
          <w:sz w:val="24"/>
          <w:szCs w:val="24"/>
        </w:rPr>
      </w:pPr>
    </w:p>
    <w:p w14:paraId="08413408" w14:textId="77777777" w:rsidR="008A7C7D" w:rsidRDefault="008A7C7D" w:rsidP="008A7C7D">
      <w:pPr>
        <w:rPr>
          <w:rFonts w:ascii="Times New Roman" w:eastAsia="Times New Roman" w:hAnsi="Times New Roman" w:cs="Times New Roman"/>
          <w:sz w:val="24"/>
          <w:szCs w:val="24"/>
        </w:rPr>
      </w:pPr>
      <w:r w:rsidRPr="73629EB7">
        <w:rPr>
          <w:rFonts w:ascii="Times New Roman" w:eastAsia="Times New Roman" w:hAnsi="Times New Roman" w:cs="Times New Roman"/>
          <w:sz w:val="24"/>
          <w:szCs w:val="24"/>
        </w:rPr>
        <w:t>The governing board shall determine, by resolution, if payment from the official bond shall be sought and if the governing body will seek a judgment from the finance officer or duly appointed deputy finance officer for any deficiencies in the amount.</w:t>
      </w:r>
    </w:p>
    <w:p w14:paraId="4875D339" w14:textId="77777777" w:rsidR="008A7C7D" w:rsidRDefault="008A7C7D" w:rsidP="008A7C7D"/>
    <w:p w14:paraId="111599A1" w14:textId="77777777" w:rsidR="008A7C7D" w:rsidRDefault="008A7C7D"/>
    <w:sectPr w:rsidR="008A7C7D" w:rsidSect="000A23E5">
      <w:headerReference w:type="default" r:id="rId7"/>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C423E7" w14:textId="77777777" w:rsidR="000C52AC" w:rsidRDefault="000C52AC" w:rsidP="008A7C7D">
      <w:pPr>
        <w:spacing w:after="0" w:line="240" w:lineRule="auto"/>
      </w:pPr>
      <w:r>
        <w:separator/>
      </w:r>
    </w:p>
  </w:endnote>
  <w:endnote w:type="continuationSeparator" w:id="0">
    <w:p w14:paraId="5BB17A13" w14:textId="77777777" w:rsidR="000C52AC" w:rsidRDefault="000C52AC" w:rsidP="008A7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D4911D" w14:textId="77777777" w:rsidR="000C52AC" w:rsidRDefault="000C52AC" w:rsidP="008A7C7D">
      <w:pPr>
        <w:spacing w:after="0" w:line="240" w:lineRule="auto"/>
      </w:pPr>
      <w:r>
        <w:separator/>
      </w:r>
    </w:p>
  </w:footnote>
  <w:footnote w:type="continuationSeparator" w:id="0">
    <w:p w14:paraId="13E68771" w14:textId="77777777" w:rsidR="000C52AC" w:rsidRDefault="000C52AC" w:rsidP="008A7C7D">
      <w:pPr>
        <w:spacing w:after="0" w:line="240" w:lineRule="auto"/>
      </w:pPr>
      <w:r>
        <w:continuationSeparator/>
      </w:r>
    </w:p>
  </w:footnote>
  <w:footnote w:id="1">
    <w:p w14:paraId="6B351403" w14:textId="77777777" w:rsidR="008A7C7D" w:rsidRPr="00096159" w:rsidRDefault="008A7C7D" w:rsidP="008A7C7D">
      <w:pPr>
        <w:pStyle w:val="FootnoteText"/>
        <w:rPr>
          <w:rFonts w:ascii="Times" w:hAnsi="Times" w:cs="Times"/>
        </w:rPr>
      </w:pPr>
      <w:r w:rsidRPr="00096159">
        <w:rPr>
          <w:rStyle w:val="FootnoteReference"/>
          <w:rFonts w:ascii="Times" w:eastAsia="Calibri" w:hAnsi="Times" w:cs="Times"/>
        </w:rPr>
        <w:footnoteRef/>
      </w:r>
      <w:r w:rsidRPr="00096159">
        <w:rPr>
          <w:rFonts w:ascii="Times" w:eastAsia="Calibri" w:hAnsi="Times" w:cs="Times"/>
        </w:rPr>
        <w:t xml:space="preserve"> The governing board must first amend the budget or project/grant ordinance to make, or increase, the appropriation.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6875" w:type="pct"/>
      <w:jc w:val="center"/>
      <w:tblCellMar>
        <w:top w:w="144" w:type="dxa"/>
        <w:left w:w="115" w:type="dxa"/>
        <w:bottom w:w="144" w:type="dxa"/>
        <w:right w:w="115" w:type="dxa"/>
      </w:tblCellMar>
      <w:tblLook w:val="04A0" w:firstRow="1" w:lastRow="0" w:firstColumn="1" w:lastColumn="0" w:noHBand="0" w:noVBand="1"/>
    </w:tblPr>
    <w:tblGrid>
      <w:gridCol w:w="12870"/>
    </w:tblGrid>
    <w:tr w:rsidR="000A23E5" w:rsidRPr="000A23E5" w14:paraId="00EA58E1" w14:textId="77777777" w:rsidTr="000A23E5">
      <w:trPr>
        <w:trHeight w:val="576"/>
        <w:jc w:val="center"/>
      </w:trPr>
      <w:sdt>
        <w:sdtPr>
          <w:rPr>
            <w:rFonts w:ascii="Times New Roman" w:eastAsia="Calibri" w:hAnsi="Times New Roman" w:cs="Times New Roman"/>
            <w:caps/>
            <w:color w:val="FFFFFF"/>
            <w:kern w:val="0"/>
            <w:sz w:val="24"/>
            <w:szCs w:val="24"/>
            <w14:ligatures w14:val="none"/>
          </w:rPr>
          <w:alias w:val="Title"/>
          <w:tag w:val=""/>
          <w:id w:val="857165943"/>
          <w:placeholder>
            <w:docPart w:val="4E61DBBE80FF4651A68CAB6FB08CC520"/>
          </w:placeholder>
          <w:dataBinding w:prefixMappings="xmlns:ns0='http://purl.org/dc/elements/1.1/' xmlns:ns1='http://schemas.openxmlformats.org/package/2006/metadata/core-properties' " w:xpath="/ns1:coreProperties[1]/ns0:title[1]" w:storeItemID="{6C3C8BC8-F283-45AE-878A-BAB7291924A1}"/>
          <w:text/>
        </w:sdtPr>
        <w:sdtContent>
          <w:tc>
            <w:tcPr>
              <w:tcW w:w="5000" w:type="pct"/>
              <w:shd w:val="clear" w:color="auto" w:fill="8064A2"/>
              <w:vAlign w:val="center"/>
            </w:tcPr>
            <w:p w14:paraId="592BD07E" w14:textId="23F9BDBE" w:rsidR="000A23E5" w:rsidRPr="000A23E5" w:rsidRDefault="000A23E5" w:rsidP="000A23E5">
              <w:pPr>
                <w:widowControl w:val="0"/>
                <w:autoSpaceDE w:val="0"/>
                <w:autoSpaceDN w:val="0"/>
                <w:spacing w:before="240" w:after="240" w:line="240" w:lineRule="auto"/>
                <w:jc w:val="center"/>
                <w:rPr>
                  <w:rFonts w:ascii="Times New Roman" w:eastAsia="Calibri" w:hAnsi="Times New Roman" w:cs="Times New Roman"/>
                  <w:caps/>
                  <w:color w:val="FFFFFF"/>
                  <w:kern w:val="0"/>
                  <w:sz w:val="24"/>
                  <w:szCs w:val="24"/>
                  <w14:ligatures w14:val="none"/>
                </w:rPr>
              </w:pPr>
              <w:r w:rsidRPr="0018770E">
                <w:rPr>
                  <w:rFonts w:ascii="Times New Roman" w:eastAsia="Calibri" w:hAnsi="Times New Roman" w:cs="Times New Roman"/>
                  <w:caps/>
                  <w:color w:val="FFFFFF"/>
                  <w:kern w:val="0"/>
                  <w:sz w:val="24"/>
                  <w:szCs w:val="24"/>
                  <w14:ligatures w14:val="none"/>
                </w:rPr>
                <w:t>NC LOCAL GOVERNMENT FINANCE POLICY MANUAL</w:t>
              </w:r>
            </w:p>
          </w:tc>
        </w:sdtContent>
      </w:sdt>
    </w:tr>
    <w:tr w:rsidR="000A23E5" w:rsidRPr="000A23E5" w14:paraId="416F0ACB" w14:textId="77777777" w:rsidTr="000A23E5">
      <w:trPr>
        <w:trHeight w:hRule="exact" w:val="227"/>
        <w:jc w:val="center"/>
      </w:trPr>
      <w:tc>
        <w:tcPr>
          <w:tcW w:w="5000" w:type="pct"/>
          <w:shd w:val="clear" w:color="auto" w:fill="F79646"/>
          <w:tcMar>
            <w:top w:w="0" w:type="dxa"/>
            <w:bottom w:w="0" w:type="dxa"/>
          </w:tcMar>
        </w:tcPr>
        <w:p w14:paraId="396060D1" w14:textId="77777777" w:rsidR="000A23E5" w:rsidRPr="000A23E5" w:rsidRDefault="000A23E5" w:rsidP="000A23E5">
          <w:pPr>
            <w:widowControl w:val="0"/>
            <w:tabs>
              <w:tab w:val="left" w:pos="5070"/>
            </w:tabs>
            <w:autoSpaceDE w:val="0"/>
            <w:autoSpaceDN w:val="0"/>
            <w:spacing w:after="0" w:line="240" w:lineRule="auto"/>
            <w:rPr>
              <w:rFonts w:ascii="Calibri" w:eastAsia="Calibri" w:hAnsi="Calibri" w:cs="Calibri"/>
              <w:caps/>
              <w:color w:val="FFFFFF"/>
              <w:kern w:val="0"/>
              <w:sz w:val="18"/>
              <w:szCs w:val="18"/>
              <w14:ligatures w14:val="none"/>
            </w:rPr>
          </w:pPr>
          <w:r w:rsidRPr="000A23E5">
            <w:rPr>
              <w:rFonts w:ascii="Calibri" w:eastAsia="Calibri" w:hAnsi="Calibri" w:cs="Calibri"/>
              <w:caps/>
              <w:color w:val="FFFFFF"/>
              <w:kern w:val="0"/>
              <w:sz w:val="18"/>
              <w:szCs w:val="18"/>
              <w14:ligatures w14:val="none"/>
            </w:rPr>
            <w:tab/>
          </w:r>
        </w:p>
      </w:tc>
    </w:tr>
  </w:tbl>
  <w:p w14:paraId="5BFDDD05" w14:textId="77777777" w:rsidR="000A23E5" w:rsidRPr="000A23E5" w:rsidRDefault="000A23E5" w:rsidP="000A23E5">
    <w:pPr>
      <w:widowControl w:val="0"/>
      <w:tabs>
        <w:tab w:val="center" w:pos="4680"/>
        <w:tab w:val="right" w:pos="9360"/>
      </w:tabs>
      <w:autoSpaceDE w:val="0"/>
      <w:autoSpaceDN w:val="0"/>
      <w:spacing w:after="0" w:line="240" w:lineRule="auto"/>
      <w:rPr>
        <w:rFonts w:ascii="Calibri" w:eastAsia="Calibri" w:hAnsi="Calibri" w:cs="Calibri"/>
        <w:kern w:val="0"/>
        <w14:ligatures w14:val="none"/>
      </w:rPr>
    </w:pPr>
  </w:p>
  <w:p w14:paraId="664E0611" w14:textId="77777777" w:rsidR="000A23E5" w:rsidRDefault="000A23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78B02"/>
    <w:multiLevelType w:val="hybridMultilevel"/>
    <w:tmpl w:val="073245B0"/>
    <w:lvl w:ilvl="0" w:tplc="F6FA8B24">
      <w:start w:val="1"/>
      <w:numFmt w:val="decimal"/>
      <w:lvlText w:val="%1."/>
      <w:lvlJc w:val="left"/>
      <w:pPr>
        <w:ind w:left="720" w:hanging="360"/>
      </w:pPr>
    </w:lvl>
    <w:lvl w:ilvl="1" w:tplc="6E229616">
      <w:start w:val="1"/>
      <w:numFmt w:val="lowerLetter"/>
      <w:lvlText w:val="%2."/>
      <w:lvlJc w:val="left"/>
      <w:pPr>
        <w:ind w:left="1440" w:hanging="360"/>
      </w:pPr>
    </w:lvl>
    <w:lvl w:ilvl="2" w:tplc="3828B6F2">
      <w:start w:val="1"/>
      <w:numFmt w:val="lowerRoman"/>
      <w:lvlText w:val="%3."/>
      <w:lvlJc w:val="right"/>
      <w:pPr>
        <w:ind w:left="2160" w:hanging="180"/>
      </w:pPr>
    </w:lvl>
    <w:lvl w:ilvl="3" w:tplc="F1A861B8">
      <w:start w:val="1"/>
      <w:numFmt w:val="decimal"/>
      <w:lvlText w:val="%4."/>
      <w:lvlJc w:val="left"/>
      <w:pPr>
        <w:ind w:left="2880" w:hanging="360"/>
      </w:pPr>
    </w:lvl>
    <w:lvl w:ilvl="4" w:tplc="51B065E4">
      <w:start w:val="1"/>
      <w:numFmt w:val="lowerLetter"/>
      <w:lvlText w:val="%5."/>
      <w:lvlJc w:val="left"/>
      <w:pPr>
        <w:ind w:left="3600" w:hanging="360"/>
      </w:pPr>
    </w:lvl>
    <w:lvl w:ilvl="5" w:tplc="7A9A04B8">
      <w:start w:val="1"/>
      <w:numFmt w:val="lowerRoman"/>
      <w:lvlText w:val="%6."/>
      <w:lvlJc w:val="right"/>
      <w:pPr>
        <w:ind w:left="4320" w:hanging="180"/>
      </w:pPr>
    </w:lvl>
    <w:lvl w:ilvl="6" w:tplc="6CBCC6DE">
      <w:start w:val="1"/>
      <w:numFmt w:val="decimal"/>
      <w:lvlText w:val="%7."/>
      <w:lvlJc w:val="left"/>
      <w:pPr>
        <w:ind w:left="5040" w:hanging="360"/>
      </w:pPr>
    </w:lvl>
    <w:lvl w:ilvl="7" w:tplc="A54855C6">
      <w:start w:val="1"/>
      <w:numFmt w:val="lowerLetter"/>
      <w:lvlText w:val="%8."/>
      <w:lvlJc w:val="left"/>
      <w:pPr>
        <w:ind w:left="5760" w:hanging="360"/>
      </w:pPr>
    </w:lvl>
    <w:lvl w:ilvl="8" w:tplc="F9E09A52">
      <w:start w:val="1"/>
      <w:numFmt w:val="lowerRoman"/>
      <w:lvlText w:val="%9."/>
      <w:lvlJc w:val="right"/>
      <w:pPr>
        <w:ind w:left="6480" w:hanging="180"/>
      </w:pPr>
    </w:lvl>
  </w:abstractNum>
  <w:abstractNum w:abstractNumId="1" w15:restartNumberingAfterBreak="0">
    <w:nsid w:val="661A83AD"/>
    <w:multiLevelType w:val="hybridMultilevel"/>
    <w:tmpl w:val="C9509758"/>
    <w:lvl w:ilvl="0" w:tplc="A76A077A">
      <w:start w:val="1"/>
      <w:numFmt w:val="upperRoman"/>
      <w:lvlText w:val="%1."/>
      <w:lvlJc w:val="left"/>
      <w:pPr>
        <w:ind w:left="720" w:hanging="360"/>
      </w:pPr>
    </w:lvl>
    <w:lvl w:ilvl="1" w:tplc="0D109C9C">
      <w:start w:val="1"/>
      <w:numFmt w:val="lowerLetter"/>
      <w:lvlText w:val="%2."/>
      <w:lvlJc w:val="left"/>
      <w:pPr>
        <w:ind w:left="1440" w:hanging="360"/>
      </w:pPr>
    </w:lvl>
    <w:lvl w:ilvl="2" w:tplc="8A963F04">
      <w:start w:val="1"/>
      <w:numFmt w:val="lowerRoman"/>
      <w:lvlText w:val="%3."/>
      <w:lvlJc w:val="right"/>
      <w:pPr>
        <w:ind w:left="2160" w:hanging="180"/>
      </w:pPr>
    </w:lvl>
    <w:lvl w:ilvl="3" w:tplc="F1D4F776">
      <w:start w:val="1"/>
      <w:numFmt w:val="decimal"/>
      <w:lvlText w:val="%4."/>
      <w:lvlJc w:val="left"/>
      <w:pPr>
        <w:ind w:left="2880" w:hanging="360"/>
      </w:pPr>
    </w:lvl>
    <w:lvl w:ilvl="4" w:tplc="EE5E28F8">
      <w:start w:val="1"/>
      <w:numFmt w:val="lowerLetter"/>
      <w:lvlText w:val="%5."/>
      <w:lvlJc w:val="left"/>
      <w:pPr>
        <w:ind w:left="3600" w:hanging="360"/>
      </w:pPr>
    </w:lvl>
    <w:lvl w:ilvl="5" w:tplc="09E86350">
      <w:start w:val="1"/>
      <w:numFmt w:val="lowerRoman"/>
      <w:lvlText w:val="%6."/>
      <w:lvlJc w:val="right"/>
      <w:pPr>
        <w:ind w:left="4320" w:hanging="180"/>
      </w:pPr>
    </w:lvl>
    <w:lvl w:ilvl="6" w:tplc="5ADC1CA0">
      <w:start w:val="1"/>
      <w:numFmt w:val="decimal"/>
      <w:lvlText w:val="%7."/>
      <w:lvlJc w:val="left"/>
      <w:pPr>
        <w:ind w:left="5040" w:hanging="360"/>
      </w:pPr>
    </w:lvl>
    <w:lvl w:ilvl="7" w:tplc="78AAABC6">
      <w:start w:val="1"/>
      <w:numFmt w:val="lowerLetter"/>
      <w:lvlText w:val="%8."/>
      <w:lvlJc w:val="left"/>
      <w:pPr>
        <w:ind w:left="5760" w:hanging="360"/>
      </w:pPr>
    </w:lvl>
    <w:lvl w:ilvl="8" w:tplc="39F87178">
      <w:start w:val="1"/>
      <w:numFmt w:val="lowerRoman"/>
      <w:lvlText w:val="%9."/>
      <w:lvlJc w:val="right"/>
      <w:pPr>
        <w:ind w:left="6480" w:hanging="180"/>
      </w:pPr>
    </w:lvl>
  </w:abstractNum>
  <w:abstractNum w:abstractNumId="2" w15:restartNumberingAfterBreak="0">
    <w:nsid w:val="7EDFFCD2"/>
    <w:multiLevelType w:val="hybridMultilevel"/>
    <w:tmpl w:val="03202A1E"/>
    <w:lvl w:ilvl="0" w:tplc="1BCA5B56">
      <w:start w:val="1"/>
      <w:numFmt w:val="decimal"/>
      <w:lvlText w:val="%1."/>
      <w:lvlJc w:val="left"/>
      <w:pPr>
        <w:ind w:left="1080" w:hanging="360"/>
      </w:pPr>
      <w:rPr>
        <w:i w:val="0"/>
        <w:iCs w:val="0"/>
      </w:rPr>
    </w:lvl>
    <w:lvl w:ilvl="1" w:tplc="6742B20E">
      <w:start w:val="1"/>
      <w:numFmt w:val="lowerLetter"/>
      <w:lvlText w:val="%2."/>
      <w:lvlJc w:val="left"/>
      <w:pPr>
        <w:ind w:left="1800" w:hanging="360"/>
      </w:pPr>
    </w:lvl>
    <w:lvl w:ilvl="2" w:tplc="612062C2">
      <w:start w:val="1"/>
      <w:numFmt w:val="lowerRoman"/>
      <w:lvlText w:val="%3."/>
      <w:lvlJc w:val="right"/>
      <w:pPr>
        <w:ind w:left="2520" w:hanging="180"/>
      </w:pPr>
    </w:lvl>
    <w:lvl w:ilvl="3" w:tplc="0BAAF3C2">
      <w:start w:val="1"/>
      <w:numFmt w:val="decimal"/>
      <w:lvlText w:val="%4."/>
      <w:lvlJc w:val="left"/>
      <w:pPr>
        <w:ind w:left="3240" w:hanging="360"/>
      </w:pPr>
    </w:lvl>
    <w:lvl w:ilvl="4" w:tplc="E9FC0092">
      <w:start w:val="1"/>
      <w:numFmt w:val="lowerLetter"/>
      <w:lvlText w:val="%5."/>
      <w:lvlJc w:val="left"/>
      <w:pPr>
        <w:ind w:left="3960" w:hanging="360"/>
      </w:pPr>
    </w:lvl>
    <w:lvl w:ilvl="5" w:tplc="1C4C0898">
      <w:start w:val="1"/>
      <w:numFmt w:val="lowerRoman"/>
      <w:lvlText w:val="%6."/>
      <w:lvlJc w:val="right"/>
      <w:pPr>
        <w:ind w:left="4680" w:hanging="180"/>
      </w:pPr>
    </w:lvl>
    <w:lvl w:ilvl="6" w:tplc="07F24004">
      <w:start w:val="1"/>
      <w:numFmt w:val="decimal"/>
      <w:lvlText w:val="%7."/>
      <w:lvlJc w:val="left"/>
      <w:pPr>
        <w:ind w:left="5400" w:hanging="360"/>
      </w:pPr>
    </w:lvl>
    <w:lvl w:ilvl="7" w:tplc="6C0A32B6">
      <w:start w:val="1"/>
      <w:numFmt w:val="lowerLetter"/>
      <w:lvlText w:val="%8."/>
      <w:lvlJc w:val="left"/>
      <w:pPr>
        <w:ind w:left="6120" w:hanging="360"/>
      </w:pPr>
    </w:lvl>
    <w:lvl w:ilvl="8" w:tplc="C10EEB3A">
      <w:start w:val="1"/>
      <w:numFmt w:val="lowerRoman"/>
      <w:lvlText w:val="%9."/>
      <w:lvlJc w:val="right"/>
      <w:pPr>
        <w:ind w:left="6840" w:hanging="180"/>
      </w:pPr>
    </w:lvl>
  </w:abstractNum>
  <w:num w:numId="1" w16cid:durableId="1698312736">
    <w:abstractNumId w:val="0"/>
  </w:num>
  <w:num w:numId="2" w16cid:durableId="1301569071">
    <w:abstractNumId w:val="1"/>
  </w:num>
  <w:num w:numId="3" w16cid:durableId="12841951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C7D"/>
    <w:rsid w:val="00096159"/>
    <w:rsid w:val="000A23E5"/>
    <w:rsid w:val="000C52AC"/>
    <w:rsid w:val="0018770E"/>
    <w:rsid w:val="00506C9A"/>
    <w:rsid w:val="008A7C7D"/>
    <w:rsid w:val="008E296F"/>
    <w:rsid w:val="00B51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AAEE0"/>
  <w15:chartTrackingRefBased/>
  <w15:docId w15:val="{F3C608A4-9F22-4C1B-A1C5-FCF84DEF5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C7D"/>
    <w:pPr>
      <w:spacing w:line="259" w:lineRule="auto"/>
    </w:pPr>
    <w:rPr>
      <w:sz w:val="22"/>
      <w:szCs w:val="22"/>
    </w:rPr>
  </w:style>
  <w:style w:type="paragraph" w:styleId="Heading1">
    <w:name w:val="heading 1"/>
    <w:basedOn w:val="Normal"/>
    <w:next w:val="Normal"/>
    <w:link w:val="Heading1Char"/>
    <w:uiPriority w:val="9"/>
    <w:qFormat/>
    <w:rsid w:val="008A7C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7C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7C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7C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7C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7C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7C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7C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7C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7C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7C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7C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7C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7C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7C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7C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7C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7C7D"/>
    <w:rPr>
      <w:rFonts w:eastAsiaTheme="majorEastAsia" w:cstheme="majorBidi"/>
      <w:color w:val="272727" w:themeColor="text1" w:themeTint="D8"/>
    </w:rPr>
  </w:style>
  <w:style w:type="paragraph" w:styleId="Title">
    <w:name w:val="Title"/>
    <w:basedOn w:val="Normal"/>
    <w:next w:val="Normal"/>
    <w:link w:val="TitleChar"/>
    <w:uiPriority w:val="10"/>
    <w:qFormat/>
    <w:rsid w:val="008A7C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7C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7C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7C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7C7D"/>
    <w:pPr>
      <w:spacing w:before="160"/>
      <w:jc w:val="center"/>
    </w:pPr>
    <w:rPr>
      <w:i/>
      <w:iCs/>
      <w:color w:val="404040" w:themeColor="text1" w:themeTint="BF"/>
    </w:rPr>
  </w:style>
  <w:style w:type="character" w:customStyle="1" w:styleId="QuoteChar">
    <w:name w:val="Quote Char"/>
    <w:basedOn w:val="DefaultParagraphFont"/>
    <w:link w:val="Quote"/>
    <w:uiPriority w:val="29"/>
    <w:rsid w:val="008A7C7D"/>
    <w:rPr>
      <w:i/>
      <w:iCs/>
      <w:color w:val="404040" w:themeColor="text1" w:themeTint="BF"/>
    </w:rPr>
  </w:style>
  <w:style w:type="paragraph" w:styleId="ListParagraph">
    <w:name w:val="List Paragraph"/>
    <w:basedOn w:val="Normal"/>
    <w:uiPriority w:val="34"/>
    <w:qFormat/>
    <w:rsid w:val="008A7C7D"/>
    <w:pPr>
      <w:ind w:left="720"/>
      <w:contextualSpacing/>
    </w:pPr>
  </w:style>
  <w:style w:type="character" w:styleId="IntenseEmphasis">
    <w:name w:val="Intense Emphasis"/>
    <w:basedOn w:val="DefaultParagraphFont"/>
    <w:uiPriority w:val="21"/>
    <w:qFormat/>
    <w:rsid w:val="008A7C7D"/>
    <w:rPr>
      <w:i/>
      <w:iCs/>
      <w:color w:val="0F4761" w:themeColor="accent1" w:themeShade="BF"/>
    </w:rPr>
  </w:style>
  <w:style w:type="paragraph" w:styleId="IntenseQuote">
    <w:name w:val="Intense Quote"/>
    <w:basedOn w:val="Normal"/>
    <w:next w:val="Normal"/>
    <w:link w:val="IntenseQuoteChar"/>
    <w:uiPriority w:val="30"/>
    <w:qFormat/>
    <w:rsid w:val="008A7C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7C7D"/>
    <w:rPr>
      <w:i/>
      <w:iCs/>
      <w:color w:val="0F4761" w:themeColor="accent1" w:themeShade="BF"/>
    </w:rPr>
  </w:style>
  <w:style w:type="character" w:styleId="IntenseReference">
    <w:name w:val="Intense Reference"/>
    <w:basedOn w:val="DefaultParagraphFont"/>
    <w:uiPriority w:val="32"/>
    <w:qFormat/>
    <w:rsid w:val="008A7C7D"/>
    <w:rPr>
      <w:b/>
      <w:bCs/>
      <w:smallCaps/>
      <w:color w:val="0F4761" w:themeColor="accent1" w:themeShade="BF"/>
      <w:spacing w:val="5"/>
    </w:rPr>
  </w:style>
  <w:style w:type="character" w:customStyle="1" w:styleId="normaltextrun">
    <w:name w:val="normaltextrun"/>
    <w:basedOn w:val="DefaultParagraphFont"/>
    <w:rsid w:val="008A7C7D"/>
  </w:style>
  <w:style w:type="paragraph" w:customStyle="1" w:styleId="paragraph">
    <w:name w:val="paragraph"/>
    <w:basedOn w:val="Normal"/>
    <w:rsid w:val="008A7C7D"/>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eop">
    <w:name w:val="eop"/>
    <w:basedOn w:val="DefaultParagraphFont"/>
    <w:rsid w:val="008A7C7D"/>
  </w:style>
  <w:style w:type="paragraph" w:styleId="FootnoteText">
    <w:name w:val="footnote text"/>
    <w:basedOn w:val="Normal"/>
    <w:link w:val="FootnoteTextChar"/>
    <w:uiPriority w:val="99"/>
    <w:semiHidden/>
    <w:unhideWhenUsed/>
    <w:rsid w:val="008A7C7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7C7D"/>
    <w:rPr>
      <w:sz w:val="20"/>
      <w:szCs w:val="20"/>
    </w:rPr>
  </w:style>
  <w:style w:type="character" w:styleId="FootnoteReference">
    <w:name w:val="footnote reference"/>
    <w:basedOn w:val="DefaultParagraphFont"/>
    <w:uiPriority w:val="99"/>
    <w:semiHidden/>
    <w:unhideWhenUsed/>
    <w:rsid w:val="008A7C7D"/>
    <w:rPr>
      <w:vertAlign w:val="superscript"/>
    </w:rPr>
  </w:style>
  <w:style w:type="paragraph" w:styleId="Header">
    <w:name w:val="header"/>
    <w:basedOn w:val="Normal"/>
    <w:link w:val="HeaderChar"/>
    <w:uiPriority w:val="99"/>
    <w:unhideWhenUsed/>
    <w:rsid w:val="008A7C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7C7D"/>
    <w:rPr>
      <w:sz w:val="22"/>
      <w:szCs w:val="22"/>
    </w:rPr>
  </w:style>
  <w:style w:type="paragraph" w:styleId="Footer">
    <w:name w:val="footer"/>
    <w:basedOn w:val="Normal"/>
    <w:link w:val="FooterChar"/>
    <w:uiPriority w:val="99"/>
    <w:unhideWhenUsed/>
    <w:rsid w:val="008A7C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7C7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E61DBBE80FF4651A68CAB6FB08CC520"/>
        <w:category>
          <w:name w:val="General"/>
          <w:gallery w:val="placeholder"/>
        </w:category>
        <w:types>
          <w:type w:val="bbPlcHdr"/>
        </w:types>
        <w:behaviors>
          <w:behavior w:val="content"/>
        </w:behaviors>
        <w:guid w:val="{57D2ADC9-F6DB-449F-A7BE-882954AEB789}"/>
      </w:docPartPr>
      <w:docPartBody>
        <w:p w:rsidR="00000000" w:rsidRDefault="001230DF" w:rsidP="001230DF">
          <w:pPr>
            <w:pStyle w:val="4E61DBBE80FF4651A68CAB6FB08CC520"/>
          </w:pPr>
          <w:r>
            <w:rPr>
              <w:caps/>
              <w:color w:val="FFFFFF" w:themeColor="background1"/>
              <w:sz w:val="18"/>
              <w:szCs w:val="1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0DF"/>
    <w:rsid w:val="001230DF"/>
    <w:rsid w:val="008E296F"/>
    <w:rsid w:val="009C2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6D7BE98740548FB9FD98DD7A78822AD">
    <w:name w:val="F6D7BE98740548FB9FD98DD7A78822AD"/>
    <w:rsid w:val="001230DF"/>
  </w:style>
  <w:style w:type="paragraph" w:customStyle="1" w:styleId="4E61DBBE80FF4651A68CAB6FB08CC520">
    <w:name w:val="4E61DBBE80FF4651A68CAB6FB08CC520"/>
    <w:rsid w:val="001230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777</Words>
  <Characters>4435</Characters>
  <Application>Microsoft Office Word</Application>
  <DocSecurity>0</DocSecurity>
  <Lines>36</Lines>
  <Paragraphs>10</Paragraphs>
  <ScaleCrop>false</ScaleCrop>
  <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LOCAL GOVERNMENT FINANCE POLICY MANUAL</dc:title>
  <dc:subject/>
  <dc:creator>Badgett, Rebecca</dc:creator>
  <cp:keywords/>
  <dc:description/>
  <cp:lastModifiedBy>Mask, Colby Lee</cp:lastModifiedBy>
  <cp:revision>5</cp:revision>
  <dcterms:created xsi:type="dcterms:W3CDTF">2024-11-01T16:31:00Z</dcterms:created>
  <dcterms:modified xsi:type="dcterms:W3CDTF">2024-11-04T15:22:00Z</dcterms:modified>
</cp:coreProperties>
</file>