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D4B9" w14:textId="167DCD47" w:rsidR="00AA02B5" w:rsidRPr="00BE2C88" w:rsidRDefault="00BE2C88">
      <w:pPr>
        <w:rPr>
          <w:rFonts w:ascii="Times New Roman" w:hAnsi="Times New Roman" w:cs="Times New Roman"/>
          <w:sz w:val="28"/>
          <w:szCs w:val="28"/>
        </w:rPr>
      </w:pPr>
      <w:r w:rsidRPr="00BE2C88">
        <w:rPr>
          <w:rFonts w:ascii="Times New Roman" w:hAnsi="Times New Roman" w:cs="Times New Roman"/>
          <w:b/>
          <w:sz w:val="28"/>
          <w:szCs w:val="28"/>
        </w:rPr>
        <w:t xml:space="preserve">Grant Project Ordinance for the </w:t>
      </w:r>
      <w:r w:rsidR="00D9088D" w:rsidRPr="00BE2C88">
        <w:rPr>
          <w:rFonts w:ascii="Times New Roman" w:hAnsi="Times New Roman" w:cs="Times New Roman"/>
          <w:b/>
          <w:sz w:val="28"/>
          <w:szCs w:val="28"/>
        </w:rPr>
        <w:t>Town of Bluesky</w:t>
      </w:r>
      <w:r w:rsidRPr="00BE2C88">
        <w:rPr>
          <w:rFonts w:ascii="Times New Roman" w:hAnsi="Times New Roman" w:cs="Times New Roman"/>
          <w:b/>
          <w:sz w:val="28"/>
          <w:szCs w:val="28"/>
        </w:rPr>
        <w:t xml:space="preserve"> American Rescue Plan Act of 2021: Coronavirus State and Local Fiscal Recovery Funds</w:t>
      </w:r>
    </w:p>
    <w:p w14:paraId="23DD7A6D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 </w:t>
      </w:r>
    </w:p>
    <w:p w14:paraId="02AE6A70" w14:textId="713AE1EF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BE IT ORDAINED</w:t>
      </w:r>
      <w:r w:rsidRPr="00BE2C88">
        <w:rPr>
          <w:rFonts w:ascii="Times New Roman" w:hAnsi="Times New Roman" w:cs="Times New Roman"/>
        </w:rPr>
        <w:t xml:space="preserve"> by the </w:t>
      </w:r>
      <w:r w:rsidR="009E6A5B" w:rsidRPr="00BE2C88">
        <w:rPr>
          <w:rFonts w:ascii="Times New Roman" w:hAnsi="Times New Roman" w:cs="Times New Roman"/>
        </w:rPr>
        <w:t>B</w:t>
      </w:r>
      <w:r w:rsidR="009A4DDF" w:rsidRPr="00BE2C88">
        <w:rPr>
          <w:rFonts w:ascii="Times New Roman" w:hAnsi="Times New Roman" w:cs="Times New Roman"/>
        </w:rPr>
        <w:t xml:space="preserve">oard of </w:t>
      </w:r>
      <w:r w:rsidR="00D9088D" w:rsidRPr="00BE2C88">
        <w:rPr>
          <w:rFonts w:ascii="Times New Roman" w:hAnsi="Times New Roman" w:cs="Times New Roman"/>
        </w:rPr>
        <w:t>Alderman</w:t>
      </w:r>
      <w:r w:rsidRPr="00BE2C88">
        <w:rPr>
          <w:rFonts w:ascii="Times New Roman" w:hAnsi="Times New Roman" w:cs="Times New Roman"/>
        </w:rPr>
        <w:t xml:space="preserve"> of </w:t>
      </w:r>
      <w:r w:rsidR="00D9088D" w:rsidRPr="00BE2C88">
        <w:rPr>
          <w:rFonts w:ascii="Times New Roman" w:hAnsi="Times New Roman" w:cs="Times New Roman"/>
        </w:rPr>
        <w:t>the Town of Bluesky,</w:t>
      </w:r>
      <w:r w:rsidRPr="00BE2C88">
        <w:rPr>
          <w:rFonts w:ascii="Times New Roman" w:hAnsi="Times New Roman" w:cs="Times New Roman"/>
        </w:rPr>
        <w:t xml:space="preserve"> North Carolina that, pursuant to Section 13.2 of Chapter 159 of the General Statutes of North Carolina, the following grant project ordinance is hereby adopted:</w:t>
      </w:r>
    </w:p>
    <w:p w14:paraId="7835FF0F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 </w:t>
      </w:r>
    </w:p>
    <w:p w14:paraId="4A86E161" w14:textId="0B93040B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Section 1:</w:t>
      </w:r>
      <w:r w:rsidRPr="00BE2C88">
        <w:rPr>
          <w:rFonts w:ascii="Times New Roman" w:hAnsi="Times New Roman" w:cs="Times New Roman"/>
        </w:rPr>
        <w:t xml:space="preserve"> This ordinance is to establish a budget for a project to be funded by the Coronavirus State and Local Fiscal Recovery Funds of H.R. 1319 American Rescue Plan Act of 2021 (ARP/CSLFRF). </w:t>
      </w:r>
      <w:r w:rsidR="00D9088D" w:rsidRPr="00BE2C88">
        <w:rPr>
          <w:rFonts w:ascii="Times New Roman" w:hAnsi="Times New Roman" w:cs="Times New Roman"/>
        </w:rPr>
        <w:t>The Town of Bluesky (Town)</w:t>
      </w:r>
      <w:r w:rsidRPr="00BE2C88">
        <w:rPr>
          <w:rFonts w:ascii="Times New Roman" w:hAnsi="Times New Roman" w:cs="Times New Roman"/>
        </w:rPr>
        <w:t xml:space="preserve"> received a total allocation is $</w:t>
      </w:r>
      <w:r w:rsidR="009E6A5B" w:rsidRPr="00BE2C88">
        <w:rPr>
          <w:rFonts w:ascii="Times New Roman" w:hAnsi="Times New Roman" w:cs="Times New Roman"/>
        </w:rPr>
        <w:t>3,000,000</w:t>
      </w:r>
      <w:r w:rsidRPr="00BE2C88">
        <w:rPr>
          <w:rFonts w:ascii="Times New Roman" w:hAnsi="Times New Roman" w:cs="Times New Roman"/>
        </w:rPr>
        <w:t>. These funds may be used for the following categories of expenditures, to the extent authorized by state law.</w:t>
      </w:r>
    </w:p>
    <w:p w14:paraId="33812B9E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 </w:t>
      </w:r>
    </w:p>
    <w:p w14:paraId="7D731D05" w14:textId="77777777" w:rsidR="00AA02B5" w:rsidRPr="00BE2C88" w:rsidRDefault="00BE2C8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Support public health expenditures, by funding COVID-19 mitigation efforts, medical expenses, behavioral healthcare, and certain public health and safety staff;</w:t>
      </w:r>
    </w:p>
    <w:p w14:paraId="442D33BD" w14:textId="77777777" w:rsidR="00AA02B5" w:rsidRPr="00BE2C88" w:rsidRDefault="00BE2C8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Address negative economic impacts caused by the public health emergency, including economic harms to workers, households, small businesses, impacted industries, and the public sector;</w:t>
      </w:r>
    </w:p>
    <w:p w14:paraId="1526BB4B" w14:textId="77777777" w:rsidR="00AA02B5" w:rsidRPr="00BE2C88" w:rsidRDefault="00BE2C8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Replace lost public sector revenue, using this funding to provide government services to the extent of the reduction in revenue experienced due to the pandemic;</w:t>
      </w:r>
    </w:p>
    <w:p w14:paraId="09EBF9BA" w14:textId="77777777" w:rsidR="00AA02B5" w:rsidRPr="00BE2C88" w:rsidRDefault="00BE2C8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 xml:space="preserve">Provide premium pay for essential workers, offering additional support to those who have borne and will bear the greatest health risks because of their service in critical infrastructure sectors; </w:t>
      </w:r>
    </w:p>
    <w:p w14:paraId="3CD80101" w14:textId="77777777" w:rsidR="00AA02B5" w:rsidRPr="00BE2C88" w:rsidRDefault="00BE2C8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 xml:space="preserve">Invest in water, sewer, and broadband infrastructure, making necessary investments to improve access to clean drinking water, support vital wastewater and stormwater infrastructure, and to expand access to broadband internet; and </w:t>
      </w:r>
    </w:p>
    <w:p w14:paraId="45AB5230" w14:textId="77777777" w:rsidR="00AA02B5" w:rsidRPr="00BE2C88" w:rsidRDefault="00BE2C88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>Invest in certain disaster recovery/mitigation projects, Title I projects, and Surface Transportation projects.</w:t>
      </w:r>
    </w:p>
    <w:p w14:paraId="45DFA6E9" w14:textId="5BD6DA95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 </w:t>
      </w:r>
    </w:p>
    <w:p w14:paraId="301302E6" w14:textId="150A6810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 xml:space="preserve">Section </w:t>
      </w:r>
      <w:r w:rsidR="00D2231D" w:rsidRPr="00BE2C88">
        <w:rPr>
          <w:rFonts w:ascii="Times New Roman" w:hAnsi="Times New Roman" w:cs="Times New Roman"/>
          <w:b/>
        </w:rPr>
        <w:t>2</w:t>
      </w:r>
      <w:r w:rsidRPr="00BE2C88">
        <w:rPr>
          <w:rFonts w:ascii="Times New Roman" w:hAnsi="Times New Roman" w:cs="Times New Roman"/>
          <w:b/>
        </w:rPr>
        <w:t>:</w:t>
      </w:r>
      <w:r w:rsidRPr="00BE2C88">
        <w:rPr>
          <w:rFonts w:ascii="Times New Roman" w:hAnsi="Times New Roman" w:cs="Times New Roman"/>
        </w:rPr>
        <w:t xml:space="preserve"> The following amounts are appropriate for the project and authorized for expenditure:</w:t>
      </w:r>
    </w:p>
    <w:p w14:paraId="64630B9E" w14:textId="77777777" w:rsidR="00AA02B5" w:rsidRPr="00BE2C88" w:rsidRDefault="00AA02B5">
      <w:pPr>
        <w:rPr>
          <w:rFonts w:ascii="Times New Roman" w:hAnsi="Times New Roman" w:cs="Times New Roman"/>
          <w:b/>
        </w:rPr>
      </w:pPr>
    </w:p>
    <w:tbl>
      <w:tblPr>
        <w:tblW w:w="11145" w:type="dxa"/>
        <w:tblInd w:w="-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3450"/>
        <w:gridCol w:w="1428"/>
        <w:gridCol w:w="1672"/>
        <w:gridCol w:w="1795"/>
        <w:gridCol w:w="1795"/>
      </w:tblGrid>
      <w:tr w:rsidR="00D9088D" w:rsidRPr="00BE2C88" w14:paraId="4B787592" w14:textId="326B8B94" w:rsidTr="00D9088D">
        <w:tc>
          <w:tcPr>
            <w:tcW w:w="1005" w:type="dxa"/>
          </w:tcPr>
          <w:p w14:paraId="46C192FA" w14:textId="77777777" w:rsidR="00D9088D" w:rsidRPr="00BE2C88" w:rsidRDefault="00D9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Internal Project Code</w:t>
            </w:r>
          </w:p>
        </w:tc>
        <w:tc>
          <w:tcPr>
            <w:tcW w:w="3450" w:type="dxa"/>
          </w:tcPr>
          <w:p w14:paraId="0B304DDA" w14:textId="77777777" w:rsidR="00D9088D" w:rsidRPr="00BE2C88" w:rsidRDefault="00D9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Project Description</w:t>
            </w:r>
          </w:p>
        </w:tc>
        <w:tc>
          <w:tcPr>
            <w:tcW w:w="1428" w:type="dxa"/>
          </w:tcPr>
          <w:p w14:paraId="57274D2E" w14:textId="77777777" w:rsidR="00D9088D" w:rsidRPr="00BE2C88" w:rsidRDefault="00D9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Expenditure Category (EC)</w:t>
            </w:r>
          </w:p>
        </w:tc>
        <w:tc>
          <w:tcPr>
            <w:tcW w:w="1672" w:type="dxa"/>
          </w:tcPr>
          <w:p w14:paraId="19C8C544" w14:textId="77777777" w:rsidR="00D9088D" w:rsidRPr="00BE2C88" w:rsidRDefault="00D9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Cost Object</w:t>
            </w:r>
          </w:p>
        </w:tc>
        <w:tc>
          <w:tcPr>
            <w:tcW w:w="1795" w:type="dxa"/>
          </w:tcPr>
          <w:p w14:paraId="4644763A" w14:textId="51083667" w:rsidR="00D9088D" w:rsidRPr="00BE2C88" w:rsidRDefault="00D9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Appropriation of ARP/CSLFRF Revenues</w:t>
            </w:r>
          </w:p>
        </w:tc>
        <w:tc>
          <w:tcPr>
            <w:tcW w:w="1795" w:type="dxa"/>
          </w:tcPr>
          <w:p w14:paraId="62D670CC" w14:textId="3620C997" w:rsidR="00D9088D" w:rsidRPr="00BE2C88" w:rsidRDefault="00D90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Appropriation of Other Revenues</w:t>
            </w:r>
          </w:p>
        </w:tc>
      </w:tr>
      <w:tr w:rsidR="00D9088D" w:rsidRPr="00BE2C88" w14:paraId="4D92712D" w14:textId="57B23F9D" w:rsidTr="00D9088D">
        <w:trPr>
          <w:trHeight w:val="443"/>
        </w:trPr>
        <w:tc>
          <w:tcPr>
            <w:tcW w:w="1005" w:type="dxa"/>
            <w:vMerge w:val="restart"/>
          </w:tcPr>
          <w:p w14:paraId="67434E75" w14:textId="77777777" w:rsidR="00D9088D" w:rsidRPr="00BE2C88" w:rsidRDefault="00D9088D">
            <w:pPr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450" w:type="dxa"/>
            <w:vMerge w:val="restart"/>
          </w:tcPr>
          <w:p w14:paraId="1C25D857" w14:textId="6D28232E" w:rsidR="00D9088D" w:rsidRPr="00BE2C88" w:rsidRDefault="00D9088D">
            <w:pPr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 xml:space="preserve">Reimburse Law Enforcement Salaries and Benefits July 1, </w:t>
            </w:r>
            <w:proofErr w:type="gramStart"/>
            <w:r w:rsidRPr="00BE2C88">
              <w:rPr>
                <w:rFonts w:ascii="Times New Roman" w:hAnsi="Times New Roman" w:cs="Times New Roman"/>
              </w:rPr>
              <w:t>2021</w:t>
            </w:r>
            <w:proofErr w:type="gramEnd"/>
            <w:r w:rsidRPr="00BE2C88">
              <w:rPr>
                <w:rFonts w:ascii="Times New Roman" w:hAnsi="Times New Roman" w:cs="Times New Roman"/>
              </w:rPr>
              <w:t xml:space="preserve"> through June 30, 2024</w:t>
            </w:r>
          </w:p>
        </w:tc>
        <w:tc>
          <w:tcPr>
            <w:tcW w:w="1428" w:type="dxa"/>
            <w:vMerge w:val="restart"/>
          </w:tcPr>
          <w:p w14:paraId="72E9426A" w14:textId="49064157" w:rsidR="00D9088D" w:rsidRPr="00BE2C88" w:rsidRDefault="00D9088D">
            <w:pPr>
              <w:jc w:val="center"/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672" w:type="dxa"/>
          </w:tcPr>
          <w:p w14:paraId="79A5E147" w14:textId="2B66557E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>Compensation</w:t>
            </w:r>
          </w:p>
        </w:tc>
        <w:tc>
          <w:tcPr>
            <w:tcW w:w="1795" w:type="dxa"/>
          </w:tcPr>
          <w:p w14:paraId="6BC05BE6" w14:textId="7B29D6D1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>$2,200,000</w:t>
            </w:r>
          </w:p>
        </w:tc>
        <w:tc>
          <w:tcPr>
            <w:tcW w:w="1795" w:type="dxa"/>
          </w:tcPr>
          <w:p w14:paraId="6C3F4D63" w14:textId="77777777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088D" w:rsidRPr="00BE2C88" w14:paraId="3877E79D" w14:textId="5388C99F" w:rsidTr="00D9088D">
        <w:trPr>
          <w:trHeight w:val="442"/>
        </w:trPr>
        <w:tc>
          <w:tcPr>
            <w:tcW w:w="1005" w:type="dxa"/>
            <w:vMerge/>
          </w:tcPr>
          <w:p w14:paraId="060CB779" w14:textId="77777777" w:rsidR="00D9088D" w:rsidRPr="00BE2C88" w:rsidRDefault="00D90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vMerge/>
          </w:tcPr>
          <w:p w14:paraId="30E7548E" w14:textId="77777777" w:rsidR="00D9088D" w:rsidRPr="00BE2C88" w:rsidRDefault="00D90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14:paraId="35A39CE2" w14:textId="77777777" w:rsidR="00D9088D" w:rsidRPr="00BE2C88" w:rsidRDefault="00D90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0C66703" w14:textId="315B39AD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>Benefits</w:t>
            </w:r>
          </w:p>
        </w:tc>
        <w:tc>
          <w:tcPr>
            <w:tcW w:w="1795" w:type="dxa"/>
          </w:tcPr>
          <w:p w14:paraId="366AC0EC" w14:textId="571644A6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  <w:r w:rsidRPr="00BE2C88">
              <w:rPr>
                <w:rFonts w:ascii="Times New Roman" w:hAnsi="Times New Roman" w:cs="Times New Roman"/>
              </w:rPr>
              <w:t>$800,000</w:t>
            </w:r>
          </w:p>
        </w:tc>
        <w:tc>
          <w:tcPr>
            <w:tcW w:w="1795" w:type="dxa"/>
          </w:tcPr>
          <w:p w14:paraId="41ABBFF0" w14:textId="77777777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9088D" w:rsidRPr="00BE2C88" w14:paraId="2E60E348" w14:textId="74EF3898" w:rsidTr="00D9088D">
        <w:tc>
          <w:tcPr>
            <w:tcW w:w="1005" w:type="dxa"/>
          </w:tcPr>
          <w:p w14:paraId="10F2E940" w14:textId="77777777" w:rsidR="00D9088D" w:rsidRPr="00BE2C88" w:rsidRDefault="00D908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0" w:type="dxa"/>
          </w:tcPr>
          <w:p w14:paraId="51EAE828" w14:textId="5DD301C4" w:rsidR="00D9088D" w:rsidRPr="00BE2C88" w:rsidRDefault="00D9088D" w:rsidP="00D9088D">
            <w:pPr>
              <w:rPr>
                <w:rFonts w:ascii="Times New Roman" w:hAnsi="Times New Roman" w:cs="Times New Roman"/>
                <w:bCs/>
              </w:rPr>
            </w:pPr>
            <w:r w:rsidRPr="00BE2C88">
              <w:rPr>
                <w:rFonts w:ascii="Times New Roman" w:hAnsi="Times New Roman" w:cs="Times New Roman"/>
                <w:bCs/>
              </w:rPr>
              <w:t>Transfer Interest to General Fund</w:t>
            </w:r>
          </w:p>
        </w:tc>
        <w:tc>
          <w:tcPr>
            <w:tcW w:w="1428" w:type="dxa"/>
          </w:tcPr>
          <w:p w14:paraId="3BD9314E" w14:textId="77777777" w:rsidR="00D9088D" w:rsidRPr="00BE2C88" w:rsidRDefault="00D908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14:paraId="164550F5" w14:textId="77777777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7C3F95C0" w14:textId="77777777" w:rsidR="00D9088D" w:rsidRPr="00BE2C88" w:rsidRDefault="00D9088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185B1A54" w14:textId="323EE4D2" w:rsidR="00D9088D" w:rsidRPr="00BE2C88" w:rsidRDefault="00D9088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E2C88">
              <w:rPr>
                <w:rFonts w:ascii="Times New Roman" w:hAnsi="Times New Roman" w:cs="Times New Roman"/>
                <w:bCs/>
              </w:rPr>
              <w:t>$43,920</w:t>
            </w:r>
          </w:p>
        </w:tc>
      </w:tr>
      <w:tr w:rsidR="00D9088D" w:rsidRPr="00BE2C88" w14:paraId="772E6140" w14:textId="7A0DCCC6" w:rsidTr="00D9088D">
        <w:tc>
          <w:tcPr>
            <w:tcW w:w="1005" w:type="dxa"/>
          </w:tcPr>
          <w:p w14:paraId="46B387EE" w14:textId="77777777" w:rsidR="00D9088D" w:rsidRPr="00BE2C88" w:rsidRDefault="00D908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0" w:type="dxa"/>
          </w:tcPr>
          <w:p w14:paraId="7072A121" w14:textId="77777777" w:rsidR="00D9088D" w:rsidRPr="00BE2C88" w:rsidRDefault="00D908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28" w:type="dxa"/>
          </w:tcPr>
          <w:p w14:paraId="789C6FDD" w14:textId="77777777" w:rsidR="00D9088D" w:rsidRPr="00BE2C88" w:rsidRDefault="00D908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14:paraId="247C5B50" w14:textId="77777777" w:rsidR="00D9088D" w:rsidRPr="00BE2C88" w:rsidRDefault="00D908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51C7C070" w14:textId="2D342CAE" w:rsidR="00D9088D" w:rsidRPr="00BE2C88" w:rsidRDefault="00D908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$3,000,000</w:t>
            </w:r>
          </w:p>
        </w:tc>
        <w:tc>
          <w:tcPr>
            <w:tcW w:w="1795" w:type="dxa"/>
          </w:tcPr>
          <w:p w14:paraId="7E75B3F9" w14:textId="309B9A67" w:rsidR="00D9088D" w:rsidRPr="00BE2C88" w:rsidRDefault="00D908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E2C88">
              <w:rPr>
                <w:rFonts w:ascii="Times New Roman" w:hAnsi="Times New Roman" w:cs="Times New Roman"/>
                <w:b/>
              </w:rPr>
              <w:t>$43,920</w:t>
            </w:r>
          </w:p>
        </w:tc>
      </w:tr>
    </w:tbl>
    <w:p w14:paraId="4955C8EA" w14:textId="77777777" w:rsidR="00AA02B5" w:rsidRPr="00BE2C88" w:rsidRDefault="00AA02B5">
      <w:pPr>
        <w:rPr>
          <w:rFonts w:ascii="Times New Roman" w:hAnsi="Times New Roman" w:cs="Times New Roman"/>
          <w:b/>
        </w:rPr>
      </w:pPr>
    </w:p>
    <w:p w14:paraId="7B098BCD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Section 4:</w:t>
      </w:r>
      <w:r w:rsidRPr="00BE2C88">
        <w:rPr>
          <w:rFonts w:ascii="Times New Roman" w:hAnsi="Times New Roman" w:cs="Times New Roman"/>
        </w:rPr>
        <w:t> The following revenues are anticipated to be available to complete the project:</w:t>
      </w:r>
    </w:p>
    <w:p w14:paraId="38452CA9" w14:textId="6B1024C9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ARP/CSLFRF Funds:</w:t>
      </w:r>
      <w:r w:rsidRPr="00BE2C88">
        <w:rPr>
          <w:rFonts w:ascii="Times New Roman" w:hAnsi="Times New Roman" w:cs="Times New Roman"/>
        </w:rPr>
        <w:tab/>
      </w:r>
      <w:r w:rsidRPr="00BE2C88">
        <w:rPr>
          <w:rFonts w:ascii="Times New Roman" w:hAnsi="Times New Roman" w:cs="Times New Roman"/>
        </w:rPr>
        <w:tab/>
        <w:t>$</w:t>
      </w:r>
      <w:r w:rsidR="00D9088D" w:rsidRPr="00BE2C88">
        <w:rPr>
          <w:rFonts w:ascii="Times New Roman" w:hAnsi="Times New Roman" w:cs="Times New Roman"/>
        </w:rPr>
        <w:t>3,000,000</w:t>
      </w:r>
    </w:p>
    <w:p w14:paraId="50CF2C88" w14:textId="5C7F376F" w:rsidR="00AA02B5" w:rsidRPr="00BE2C88" w:rsidRDefault="00F71A2E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Interest Income:</w:t>
      </w:r>
      <w:r w:rsidRPr="00BE2C88">
        <w:rPr>
          <w:rFonts w:ascii="Times New Roman" w:hAnsi="Times New Roman" w:cs="Times New Roman"/>
        </w:rPr>
        <w:tab/>
      </w:r>
      <w:r w:rsidRPr="00BE2C88">
        <w:rPr>
          <w:rFonts w:ascii="Times New Roman" w:hAnsi="Times New Roman" w:cs="Times New Roman"/>
        </w:rPr>
        <w:tab/>
        <w:t>$     43,920</w:t>
      </w:r>
    </w:p>
    <w:p w14:paraId="36EC2EC7" w14:textId="5226F98C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lastRenderedPageBreak/>
        <w:t>Total:</w:t>
      </w:r>
      <w:r w:rsidRPr="00BE2C88">
        <w:rPr>
          <w:rFonts w:ascii="Times New Roman" w:hAnsi="Times New Roman" w:cs="Times New Roman"/>
          <w:b/>
        </w:rPr>
        <w:tab/>
      </w:r>
      <w:r w:rsidRPr="00BE2C88">
        <w:rPr>
          <w:rFonts w:ascii="Times New Roman" w:hAnsi="Times New Roman" w:cs="Times New Roman"/>
        </w:rPr>
        <w:tab/>
      </w:r>
      <w:r w:rsidRPr="00BE2C88">
        <w:rPr>
          <w:rFonts w:ascii="Times New Roman" w:hAnsi="Times New Roman" w:cs="Times New Roman"/>
        </w:rPr>
        <w:tab/>
      </w:r>
      <w:r w:rsidRPr="00BE2C88">
        <w:rPr>
          <w:rFonts w:ascii="Times New Roman" w:hAnsi="Times New Roman" w:cs="Times New Roman"/>
        </w:rPr>
        <w:tab/>
      </w:r>
      <w:r w:rsidRPr="00BE2C88">
        <w:rPr>
          <w:rFonts w:ascii="Times New Roman" w:hAnsi="Times New Roman" w:cs="Times New Roman"/>
          <w:b/>
        </w:rPr>
        <w:t>$</w:t>
      </w:r>
      <w:r w:rsidR="00E21AAB" w:rsidRPr="00BE2C88">
        <w:rPr>
          <w:rFonts w:ascii="Times New Roman" w:hAnsi="Times New Roman" w:cs="Times New Roman"/>
          <w:b/>
        </w:rPr>
        <w:t>3</w:t>
      </w:r>
      <w:r w:rsidRPr="00BE2C88">
        <w:rPr>
          <w:rFonts w:ascii="Times New Roman" w:hAnsi="Times New Roman" w:cs="Times New Roman"/>
          <w:b/>
        </w:rPr>
        <w:t>,</w:t>
      </w:r>
      <w:r w:rsidR="00D9088D" w:rsidRPr="00BE2C88">
        <w:rPr>
          <w:rFonts w:ascii="Times New Roman" w:hAnsi="Times New Roman" w:cs="Times New Roman"/>
          <w:b/>
        </w:rPr>
        <w:t>0</w:t>
      </w:r>
      <w:r w:rsidR="00E21AAB" w:rsidRPr="00BE2C88">
        <w:rPr>
          <w:rFonts w:ascii="Times New Roman" w:hAnsi="Times New Roman" w:cs="Times New Roman"/>
          <w:b/>
        </w:rPr>
        <w:t>43,920</w:t>
      </w:r>
    </w:p>
    <w:p w14:paraId="1DCB6C2D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 </w:t>
      </w:r>
    </w:p>
    <w:p w14:paraId="2001B2B2" w14:textId="1A78AF00" w:rsidR="00AA02B5" w:rsidRPr="00BE2C88" w:rsidRDefault="00BE2C88">
      <w:pPr>
        <w:rPr>
          <w:rFonts w:ascii="Times New Roman" w:hAnsi="Times New Roman" w:cs="Times New Roman"/>
          <w:i/>
          <w:color w:val="FF0000"/>
        </w:rPr>
      </w:pPr>
      <w:r w:rsidRPr="00BE2C88">
        <w:rPr>
          <w:rFonts w:ascii="Times New Roman" w:hAnsi="Times New Roman" w:cs="Times New Roman"/>
          <w:b/>
        </w:rPr>
        <w:t>Section 5: </w:t>
      </w:r>
      <w:r w:rsidRPr="00BE2C88">
        <w:rPr>
          <w:rFonts w:ascii="Times New Roman" w:hAnsi="Times New Roman" w:cs="Times New Roman"/>
        </w:rPr>
        <w:t xml:space="preserve">The Finance Officer is hereby directed to </w:t>
      </w:r>
      <w:r w:rsidRPr="00BE2C88">
        <w:rPr>
          <w:rFonts w:ascii="Times New Roman" w:hAnsi="Times New Roman" w:cs="Times New Roman"/>
        </w:rPr>
        <w:t>maintain sufficient specific detailed accounting records to satisfy the requirements of the grantor agency and the grant agreements</w:t>
      </w:r>
      <w:r w:rsidR="00E21AAB" w:rsidRPr="00BE2C88">
        <w:rPr>
          <w:rFonts w:ascii="Times New Roman" w:hAnsi="Times New Roman" w:cs="Times New Roman"/>
        </w:rPr>
        <w:t>.</w:t>
      </w:r>
    </w:p>
    <w:p w14:paraId="7C3120EA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 </w:t>
      </w:r>
    </w:p>
    <w:p w14:paraId="03C8B170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Section 6: </w:t>
      </w:r>
      <w:r w:rsidRPr="00BE2C88">
        <w:rPr>
          <w:rFonts w:ascii="Times New Roman" w:hAnsi="Times New Roman" w:cs="Times New Roman"/>
        </w:rPr>
        <w:t xml:space="preserve">The Finance Officer is hereby directed to report the financial status of the project to the governing </w:t>
      </w:r>
      <w:r w:rsidRPr="00BE2C88">
        <w:rPr>
          <w:rFonts w:ascii="Times New Roman" w:hAnsi="Times New Roman" w:cs="Times New Roman"/>
        </w:rPr>
        <w:t>board on a quarterly basis.</w:t>
      </w:r>
    </w:p>
    <w:p w14:paraId="454BD60D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 </w:t>
      </w:r>
    </w:p>
    <w:p w14:paraId="095F8BB0" w14:textId="6723042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Section 7:</w:t>
      </w:r>
      <w:r w:rsidRPr="00BE2C88">
        <w:rPr>
          <w:rFonts w:ascii="Times New Roman" w:hAnsi="Times New Roman" w:cs="Times New Roman"/>
        </w:rPr>
        <w:t xml:space="preserve"> Copies of this grant project ordinance shall be furnished to the Budget Officer, the Finance Officer and to the Clerk to </w:t>
      </w:r>
      <w:r w:rsidR="00D9088D" w:rsidRPr="00BE2C88">
        <w:rPr>
          <w:rFonts w:ascii="Times New Roman" w:hAnsi="Times New Roman" w:cs="Times New Roman"/>
        </w:rPr>
        <w:t>Town Board</w:t>
      </w:r>
      <w:r w:rsidRPr="00BE2C88">
        <w:rPr>
          <w:rFonts w:ascii="Times New Roman" w:hAnsi="Times New Roman" w:cs="Times New Roman"/>
        </w:rPr>
        <w:t>.</w:t>
      </w:r>
    </w:p>
    <w:p w14:paraId="317EA60C" w14:textId="77777777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 </w:t>
      </w:r>
    </w:p>
    <w:p w14:paraId="62B4DC4B" w14:textId="705AFA01" w:rsidR="00AA02B5" w:rsidRPr="00BE2C88" w:rsidRDefault="00BE2C88">
      <w:pPr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  <w:b/>
        </w:rPr>
        <w:t>Section 8: </w:t>
      </w:r>
      <w:r w:rsidRPr="00BE2C88">
        <w:rPr>
          <w:rFonts w:ascii="Times New Roman" w:hAnsi="Times New Roman" w:cs="Times New Roman"/>
        </w:rPr>
        <w:t xml:space="preserve">This grant project ordinance expires on December 31, 2026, or when all the ARP/CSLFRF funds have been obligated and expended by the </w:t>
      </w:r>
      <w:r w:rsidR="00D9088D" w:rsidRPr="00BE2C88">
        <w:rPr>
          <w:rFonts w:ascii="Times New Roman" w:hAnsi="Times New Roman" w:cs="Times New Roman"/>
        </w:rPr>
        <w:t>Town</w:t>
      </w:r>
      <w:r w:rsidRPr="00BE2C88">
        <w:rPr>
          <w:rFonts w:ascii="Times New Roman" w:hAnsi="Times New Roman" w:cs="Times New Roman"/>
        </w:rPr>
        <w:t>, whichever occurs sooner.</w:t>
      </w:r>
    </w:p>
    <w:p w14:paraId="3580FCCC" w14:textId="22DE4D25" w:rsidR="00AA02B5" w:rsidRPr="00BE2C88" w:rsidRDefault="00AA02B5">
      <w:pPr>
        <w:rPr>
          <w:rFonts w:ascii="Times New Roman" w:hAnsi="Times New Roman" w:cs="Times New Roman"/>
          <w:i/>
          <w:color w:val="FF0000"/>
        </w:rPr>
      </w:pPr>
    </w:p>
    <w:sectPr w:rsidR="00AA02B5" w:rsidRPr="00BE2C88" w:rsidSect="00BE2C8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BBCE" w14:textId="77777777" w:rsidR="00BE2C88" w:rsidRDefault="00BE2C88" w:rsidP="00BE2C88">
      <w:r>
        <w:separator/>
      </w:r>
    </w:p>
  </w:endnote>
  <w:endnote w:type="continuationSeparator" w:id="0">
    <w:p w14:paraId="02F761C8" w14:textId="77777777" w:rsidR="00BE2C88" w:rsidRDefault="00BE2C88" w:rsidP="00BE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4E39A" w14:textId="77777777" w:rsidR="00BE2C88" w:rsidRDefault="00BE2C88" w:rsidP="00BE2C88">
      <w:r>
        <w:separator/>
      </w:r>
    </w:p>
  </w:footnote>
  <w:footnote w:type="continuationSeparator" w:id="0">
    <w:p w14:paraId="3552ADA4" w14:textId="77777777" w:rsidR="00BE2C88" w:rsidRDefault="00BE2C88" w:rsidP="00BE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BE2C88" w:rsidRPr="00805106" w14:paraId="7CCD53C3" w14:textId="77777777" w:rsidTr="009C6804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</w:rPr>
          <w:alias w:val="Title"/>
          <w:tag w:val=""/>
          <w:id w:val="857165943"/>
          <w:placeholder>
            <w:docPart w:val="3A0BDF5D69D94FF19FE0D0E31C8C21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5A1BEFDA" w14:textId="3843F59B" w:rsidR="00BE2C88" w:rsidRPr="00805106" w:rsidRDefault="00BE2C88" w:rsidP="00BE2C88">
              <w:pPr>
                <w:widowControl w:val="0"/>
                <w:autoSpaceDE w:val="0"/>
                <w:autoSpaceDN w:val="0"/>
                <w:spacing w:before="240" w:after="240"/>
                <w:jc w:val="center"/>
                <w:rPr>
                  <w:rFonts w:ascii="Times New Roman" w:eastAsia="Arial" w:hAnsi="Times New Roman" w:cs="Times New Roman"/>
                  <w:caps/>
                  <w:color w:val="FFFFFF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color w:val="FFFFFF" w:themeColor="background1"/>
                </w:rPr>
                <w:t>NC LOCAL GOVERNMENT FINANCE POLICY MANUAL</w:t>
              </w:r>
            </w:p>
          </w:tc>
        </w:sdtContent>
      </w:sdt>
    </w:tr>
    <w:tr w:rsidR="00BE2C88" w:rsidRPr="00805106" w14:paraId="3B16BD3F" w14:textId="77777777" w:rsidTr="009C6804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6C134A50" w14:textId="77777777" w:rsidR="00BE2C88" w:rsidRPr="00805106" w:rsidRDefault="00BE2C88" w:rsidP="00BE2C88">
          <w:pPr>
            <w:widowControl w:val="0"/>
            <w:tabs>
              <w:tab w:val="left" w:pos="5070"/>
            </w:tabs>
            <w:autoSpaceDE w:val="0"/>
            <w:autoSpaceDN w:val="0"/>
            <w:rPr>
              <w:rFonts w:ascii="Arial" w:eastAsia="Arial" w:hAnsi="Arial" w:cs="Arial"/>
              <w:caps/>
              <w:color w:val="FFFFFF"/>
              <w:sz w:val="18"/>
              <w:szCs w:val="18"/>
            </w:rPr>
          </w:pPr>
          <w:r w:rsidRPr="00805106">
            <w:rPr>
              <w:rFonts w:ascii="Arial" w:eastAsia="Arial" w:hAnsi="Arial" w:cs="Arial"/>
              <w:caps/>
              <w:color w:val="FFFFFF"/>
              <w:sz w:val="18"/>
              <w:szCs w:val="18"/>
            </w:rPr>
            <w:tab/>
          </w:r>
        </w:p>
      </w:tc>
    </w:tr>
  </w:tbl>
  <w:p w14:paraId="72670029" w14:textId="77777777" w:rsidR="00BE2C88" w:rsidRPr="00805106" w:rsidRDefault="00BE2C88" w:rsidP="00BE2C88">
    <w:pPr>
      <w:widowControl w:val="0"/>
      <w:tabs>
        <w:tab w:val="center" w:pos="4680"/>
        <w:tab w:val="right" w:pos="9360"/>
      </w:tabs>
      <w:autoSpaceDE w:val="0"/>
      <w:autoSpaceDN w:val="0"/>
      <w:rPr>
        <w:rFonts w:ascii="Arial" w:eastAsia="Arial" w:hAnsi="Arial" w:cs="Arial"/>
        <w:sz w:val="22"/>
        <w:szCs w:val="22"/>
      </w:rPr>
    </w:pPr>
  </w:p>
  <w:p w14:paraId="6478F458" w14:textId="77777777" w:rsidR="00BE2C88" w:rsidRDefault="00BE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D68"/>
    <w:multiLevelType w:val="multilevel"/>
    <w:tmpl w:val="430CB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302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B5"/>
    <w:rsid w:val="001A41BC"/>
    <w:rsid w:val="002C4457"/>
    <w:rsid w:val="003D36ED"/>
    <w:rsid w:val="00593DD1"/>
    <w:rsid w:val="0063284B"/>
    <w:rsid w:val="008B2BCB"/>
    <w:rsid w:val="009A4DDF"/>
    <w:rsid w:val="009E6A5B"/>
    <w:rsid w:val="00AA02B5"/>
    <w:rsid w:val="00AB01DF"/>
    <w:rsid w:val="00B543D6"/>
    <w:rsid w:val="00B64163"/>
    <w:rsid w:val="00BE2C88"/>
    <w:rsid w:val="00CE7C70"/>
    <w:rsid w:val="00D2231D"/>
    <w:rsid w:val="00D3373B"/>
    <w:rsid w:val="00D9088D"/>
    <w:rsid w:val="00DB427A"/>
    <w:rsid w:val="00E21AAB"/>
    <w:rsid w:val="00EB771E"/>
    <w:rsid w:val="00F46FF2"/>
    <w:rsid w:val="00F71A2E"/>
    <w:rsid w:val="00FA5093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D2A0"/>
  <w15:docId w15:val="{2267B1AD-F9CC-4AC1-9ED8-78D1D4B4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2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C88"/>
  </w:style>
  <w:style w:type="paragraph" w:styleId="Footer">
    <w:name w:val="footer"/>
    <w:basedOn w:val="Normal"/>
    <w:link w:val="FooterChar"/>
    <w:uiPriority w:val="99"/>
    <w:unhideWhenUsed/>
    <w:rsid w:val="00BE2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0BDF5D69D94FF19FE0D0E31C8C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0F35-3789-43A2-BD47-5A8DF4D5DD0F}"/>
      </w:docPartPr>
      <w:docPartBody>
        <w:p w:rsidR="0062182E" w:rsidRDefault="0062182E" w:rsidP="0062182E">
          <w:pPr>
            <w:pStyle w:val="3A0BDF5D69D94FF19FE0D0E31C8C214A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2E"/>
    <w:rsid w:val="00593DD1"/>
    <w:rsid w:val="006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0BDF5D69D94FF19FE0D0E31C8C214A">
    <w:name w:val="3A0BDF5D69D94FF19FE0D0E31C8C214A"/>
    <w:rsid w:val="00621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creator>Elizabeth Wilkes</dc:creator>
  <cp:lastModifiedBy>Mask, Colby Lee</cp:lastModifiedBy>
  <cp:revision>3</cp:revision>
  <dcterms:created xsi:type="dcterms:W3CDTF">2024-11-06T17:26:00Z</dcterms:created>
  <dcterms:modified xsi:type="dcterms:W3CDTF">2024-11-06T17:49:00Z</dcterms:modified>
</cp:coreProperties>
</file>